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200400" cy="925158"/>
            <wp:docPr id="1" name="Picture 1"/>
            <wp:cNvGraphicFramePr>
              <a:graphicFrameLocks noChangeAspect="1"/>
            </wp:cNvGraphicFramePr>
            <a:graphic>
              <a:graphicData uri="http://schemas.openxmlformats.org/drawingml/2006/picture">
                <pic:pic>
                  <pic:nvPicPr>
                    <pic:cNvPr id="0" name="nextdoc_logo_crop.png"/>
                    <pic:cNvPicPr/>
                  </pic:nvPicPr>
                  <pic:blipFill>
                    <a:blip r:embed="rId11"/>
                    <a:stretch>
                      <a:fillRect/>
                    </a:stretch>
                  </pic:blipFill>
                  <pic:spPr>
                    <a:xfrm>
                      <a:off x="0" y="0"/>
                      <a:ext cx="3200400" cy="925158"/>
                    </a:xfrm>
                    <a:prstGeom prst="rect"/>
                  </pic:spPr>
                </pic:pic>
              </a:graphicData>
            </a:graphic>
          </wp:inline>
        </w:drawing>
      </w:r>
    </w:p>
    <w:p/>
    <w:p>
      <w:r>
        <w:rPr>
          <w:rFonts w:ascii="Inter" w:hAnsi="Inter"/>
          <w:b/>
          <w:i w:val="0"/>
          <w:color w:val="6C36FF"/>
          <w:sz w:val="17"/>
        </w:rPr>
        <w:t>ANÁLISIS DE DESVÍOS Y PLAN DE CIERRE</w:t>
      </w:r>
    </w:p>
    <w:p>
      <w:pPr>
        <w:pStyle w:val="Title"/>
        <w:spacing w:after="160"/>
      </w:pPr>
      <w:r>
        <w:rPr>
          <w:rFonts w:ascii="Inter Display" w:hAnsi="Inter Display"/>
          <w:b/>
          <w:i w:val="0"/>
          <w:color w:val="0D0F12"/>
          <w:sz w:val="54"/>
        </w:rPr>
        <w:t>NEXT DOC AI — MVP0 Comercial</w:t>
      </w:r>
    </w:p>
    <w:p>
      <w:r>
        <w:rPr>
          <w:rFonts w:ascii="Inter" w:hAnsi="Inter"/>
          <w:b w:val="0"/>
          <w:i w:val="0"/>
          <w:color w:val="6B7280"/>
          <w:sz w:val="24"/>
        </w:rPr>
        <w:t>Rebaseline de alcance, arquitectura Partner-ready, IA Supervisora y roadmap de producto</w:t>
      </w:r>
    </w:p>
    <w:p/>
    <w:tbl>
      <w:tblPr>
        <w:tblW w:type="auto" w:w="0"/>
        <w:jc w:val="left"/>
        <w:tblLayout w:type="autofit"/>
        <w:tblLook w:firstColumn="1" w:firstRow="1" w:lastColumn="0" w:lastRow="0" w:noHBand="0" w:noVBand="1" w:val="04A0"/>
      </w:tblPr>
      <w:tblGrid>
        <w:gridCol w:w="10310"/>
      </w:tblGrid>
      <w:tr>
        <w:tc>
          <w:tcPr>
            <w:tcW w:type="dxa" w:w="10310"/>
            <w:shd w:fill="F3EEFF"/>
            <w:tcMar>
              <w:top w:w="160" w:type="dxa"/>
              <w:start w:w="180" w:type="dxa"/>
              <w:bottom w:w="160" w:type="dxa"/>
              <w:end w:w="180" w:type="dxa"/>
            </w:tcMar>
          </w:tcPr>
          <w:p>
            <w:r>
              <w:rPr>
                <w:rFonts w:ascii="Inter" w:hAnsi="Inter"/>
                <w:b/>
                <w:i w:val="0"/>
                <w:color w:val="6C36FF"/>
                <w:sz w:val="18"/>
              </w:rPr>
              <w:t>Propuesta de baseline comercial inicial  •  6 de septiembre de 2026</w:t>
            </w:r>
          </w:p>
        </w:tc>
      </w:tr>
    </w:tbl>
    <w:p/>
    <w:p>
      <w:r>
        <w:rPr>
          <w:rFonts w:ascii="Inter" w:hAnsi="Inter"/>
          <w:b w:val="0"/>
          <w:i w:val="0"/>
          <w:color w:val="6B7280"/>
          <w:sz w:val="17"/>
        </w:rPr>
        <w:t>Base analizada: Estado NEXT DOC AI MVP0 (05/09/2026) + Base Proyecto Next Doc AI V7 + benchmark público actualizado.</w:t>
      </w:r>
    </w:p>
    <w:p>
      <w:r>
        <w:br w:type="page"/>
      </w:r>
    </w:p>
    <w:tbl>
      <w:tblPr>
        <w:tblW w:type="auto" w:w="0"/>
        <w:jc w:val="center"/>
        <w:tblLook w:firstColumn="1" w:firstRow="1" w:lastColumn="0" w:lastRow="0" w:noHBand="0" w:noVBand="1" w:val="04A0"/>
      </w:tblPr>
      <w:tblGrid>
        <w:gridCol w:w="10310"/>
      </w:tblGrid>
      <w:tr>
        <w:tc>
          <w:tcPr>
            <w:tcW w:type="dxa" w:w="10310"/>
            <w:shd w:fill="FFF2F2"/>
            <w:tcMar>
              <w:top w:w="140" w:type="dxa"/>
              <w:start w:w="160" w:type="dxa"/>
              <w:bottom w:w="140" w:type="dxa"/>
              <w:end w:w="160" w:type="dxa"/>
            </w:tcMar>
          </w:tcPr>
          <w:p>
            <w:r>
              <w:rPr>
                <w:rFonts w:ascii="Inter" w:hAnsi="Inter"/>
                <w:b/>
                <w:i w:val="0"/>
                <w:color w:val="FF1E1E"/>
                <w:sz w:val="18"/>
              </w:rPr>
              <w:t xml:space="preserve">Decisión ejecutiva — </w:t>
            </w:r>
            <w:r>
              <w:rPr>
                <w:rFonts w:ascii="Inter" w:hAnsi="Inter"/>
                <w:b w:val="0"/>
                <w:i w:val="0"/>
                <w:color w:val="0D0F12"/>
                <w:sz w:val="18"/>
              </w:rPr>
              <w:t>El MVP0 actual está técnicamente avanzado como plataforma de IA documental, pero no coincide con el MVP0 comercial solicitado. La recomendación es declarar “MVP0 técnico” al estado actual y cerrar un “MVP0 Comercial” que agregue Workflow Core, Studio guiado de plantillas, colaboración con terceros, IA Supervisora v0, biblioteca COMEX/Follow y fundaciones de partners/marketplace. No es necesario esperar al Canvas avanzado, al marketplace transaccional ni al Copilot para vender.</w:t>
            </w:r>
          </w:p>
        </w:tc>
      </w:tr>
    </w:tbl>
    <w:p/>
    <w:p>
      <w:pPr>
        <w:pStyle w:val="Heading1"/>
      </w:pPr>
      <w:r>
        <w:t>1. Conclusión ejecutiva</w:t>
      </w:r>
    </w:p>
    <w:p>
      <w:r>
        <w:rPr>
          <w:rFonts w:ascii="Inter" w:hAnsi="Inter"/>
          <w:b w:val="0"/>
          <w:i w:val="0"/>
          <w:color w:val="0D0F12"/>
          <w:sz w:val="18"/>
        </w:rPr>
        <w:t>La evaluación del 5 de septiembre muestra un producto real: clasificación automática, captura genérica, extracción y validación con IA, revisión humana, aprendizaje por correcciones, excepciones, auditoría, aislamiento multi-tenant, retención/legal hold, exportación verificable, SSO, webhooks y control de costo. Sin embargo, el mismo documento declara que Workflow y procesos todavía no están implementados y que el producto actual es documental, no un motor de procesos. [ACT-01]</w:t>
      </w:r>
    </w:p>
    <w:p>
      <w:r>
        <w:rPr>
          <w:rFonts w:ascii="Inter" w:hAnsi="Inter"/>
          <w:b w:val="0"/>
          <w:i w:val="0"/>
          <w:color w:val="0D0F12"/>
          <w:sz w:val="18"/>
        </w:rPr>
        <w:t>Para la salida comercial definida en este encuadre, esa brecha es estructural. DigiX comunica hoy OCR+IA, captura multicanal, workflows/aprobaciones, acceso seguro para usuarios internos y externos e integración con ERP; DocFlow.ai comunica workflow, aprobaciones y automatización de exportación; Despapeliza combina templates, workflow, firma y gobernanza; ABBYY Vantage compite con diseñador low-code, aprendizaje continuo y marketplace de skills. Por lo tanto, NEXT DOC AI debe salir con IA Docs fuerte, pero también con un proceso documental ejecutable y configurable. [WEB-01..05]</w:t>
      </w:r>
    </w:p>
    <w:p>
      <w:pPr>
        <w:jc w:val="center"/>
      </w:pPr>
      <w:r>
        <w:drawing>
          <wp:inline xmlns:a="http://schemas.openxmlformats.org/drawingml/2006/main" xmlns:pic="http://schemas.openxmlformats.org/drawingml/2006/picture">
            <wp:extent cx="6217920" cy="498999"/>
            <wp:docPr id="2" name="Picture 2"/>
            <wp:cNvGraphicFramePr>
              <a:graphicFrameLocks noChangeAspect="1"/>
            </wp:cNvGraphicFramePr>
            <a:graphic>
              <a:graphicData uri="http://schemas.openxmlformats.org/drawingml/2006/picture">
                <pic:pic>
                  <pic:nvPicPr>
                    <pic:cNvPr id="0" name="01_current_vs_target.png"/>
                    <pic:cNvPicPr/>
                  </pic:nvPicPr>
                  <pic:blipFill>
                    <a:blip r:embed="rId12"/>
                    <a:stretch>
                      <a:fillRect/>
                    </a:stretch>
                  </pic:blipFill>
                  <pic:spPr>
                    <a:xfrm>
                      <a:off x="0" y="0"/>
                      <a:ext cx="6217920" cy="498999"/>
                    </a:xfrm>
                    <a:prstGeom prst="rect"/>
                  </pic:spPr>
                </pic:pic>
              </a:graphicData>
            </a:graphic>
          </wp:inline>
        </w:drawing>
      </w:r>
    </w:p>
    <w:p>
      <w:pPr>
        <w:jc w:val="center"/>
      </w:pPr>
      <w:r>
        <w:rPr>
          <w:rFonts w:ascii="Inter" w:hAnsi="Inter"/>
          <w:b w:val="0"/>
          <w:i/>
          <w:color w:val="6B7280"/>
          <w:sz w:val="15"/>
        </w:rPr>
        <w:t>Figura 1 — Diferencia entre el MVP0 técnico actual y el MVP0 comercial propuesto.</w:t>
      </w:r>
    </w:p>
    <w:p>
      <w:pPr>
        <w:pStyle w:val="Heading1"/>
      </w:pPr>
      <w:r>
        <w:t>2. Hallazgo de gobernanza: la Base V7 contiene dos interpretaciones de alcance</w:t>
      </w:r>
    </w:p>
    <w:p>
      <w:r>
        <w:rPr>
          <w:rFonts w:ascii="Inter" w:hAnsi="Inter"/>
          <w:b w:val="0"/>
          <w:i w:val="0"/>
          <w:color w:val="0D0F12"/>
          <w:sz w:val="18"/>
        </w:rPr>
        <w:t>La Base Proyecto no es completamente consistente en la asignación de Workflow a los MVP. Esta ambigüedad explica parte del desvío actual y debe resolverse antes de seguir desarrollando:</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3437"/>
        <w:gridCol w:w="3437"/>
        <w:gridCol w:w="3437"/>
      </w:tblGrid>
      <w:tr>
        <w:trPr>
          <w:tblHeader w:val="true"/>
        </w:trPr>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Documento</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Interpretación</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Fuente</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00_RESUMEN_EJECUTIVO V7</w:t>
            </w:r>
          </w:p>
        </w:tc>
        <w:tc>
          <w:tcPr>
            <w:tcW w:type="dxa" w:w="3437"/>
            <w:tcMar>
              <w:top w:w="80" w:type="dxa"/>
              <w:start w:w="90" w:type="dxa"/>
              <w:bottom w:w="80" w:type="dxa"/>
              <w:end w:w="90" w:type="dxa"/>
            </w:tcMar>
            <w:vAlign w:val="top"/>
          </w:tcPr>
          <w:p>
            <w:r>
              <w:rPr>
                <w:rFonts w:ascii="Inter" w:hAnsi="Inter"/>
                <w:b w:val="0"/>
                <w:i w:val="0"/>
                <w:color w:val="0D0F12"/>
                <w:sz w:val="16"/>
              </w:rPr>
              <w:t>MVP 1 incluye IA Docs existente + Workflow funcional + portal propio + KPI + storage/export básico.</w:t>
            </w:r>
          </w:p>
        </w:tc>
        <w:tc>
          <w:tcPr>
            <w:tcW w:type="dxa" w:w="3437"/>
            <w:tcMar>
              <w:top w:w="80" w:type="dxa"/>
              <w:start w:w="90" w:type="dxa"/>
              <w:bottom w:w="80" w:type="dxa"/>
              <w:end w:w="90" w:type="dxa"/>
            </w:tcMar>
            <w:vAlign w:val="top"/>
          </w:tcPr>
          <w:p>
            <w:r>
              <w:rPr>
                <w:rFonts w:ascii="Inter" w:hAnsi="Inter"/>
                <w:b w:val="0"/>
                <w:i w:val="0"/>
                <w:color w:val="0D0F12"/>
                <w:sz w:val="16"/>
              </w:rPr>
              <w:t>BASE-01</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ANEXO G — Base existente + roadmap</w:t>
            </w:r>
          </w:p>
        </w:tc>
        <w:tc>
          <w:tcPr>
            <w:tcW w:type="dxa" w:w="3437"/>
            <w:tcMar>
              <w:top w:w="80" w:type="dxa"/>
              <w:start w:w="90" w:type="dxa"/>
              <w:bottom w:w="80" w:type="dxa"/>
              <w:end w:w="90" w:type="dxa"/>
            </w:tcMar>
            <w:vAlign w:val="top"/>
            <w:shd w:fill="FAFAFB"/>
          </w:tcPr>
          <w:p>
            <w:r>
              <w:rPr>
                <w:rFonts w:ascii="Inter" w:hAnsi="Inter"/>
                <w:b w:val="0"/>
                <w:i w:val="0"/>
                <w:color w:val="0D0F12"/>
                <w:sz w:val="16"/>
              </w:rPr>
              <w:t>Proceso con pasos/responsables, vencimientos, terceros y timeline figuran KEEP en MVP 1.</w:t>
            </w:r>
          </w:p>
        </w:tc>
        <w:tc>
          <w:tcPr>
            <w:tcW w:type="dxa" w:w="3437"/>
            <w:tcMar>
              <w:top w:w="80" w:type="dxa"/>
              <w:start w:w="90" w:type="dxa"/>
              <w:bottom w:w="80" w:type="dxa"/>
              <w:end w:w="90" w:type="dxa"/>
            </w:tcMar>
            <w:vAlign w:val="top"/>
            <w:shd w:fill="FAFAFB"/>
          </w:tcPr>
          <w:p>
            <w:r>
              <w:rPr>
                <w:rFonts w:ascii="Inter" w:hAnsi="Inter"/>
                <w:b w:val="0"/>
                <w:i w:val="0"/>
                <w:color w:val="0D0F12"/>
                <w:sz w:val="16"/>
              </w:rPr>
              <w:t>BASE-03</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02_PRODUCTO_COMERCIAL V7</w:t>
            </w:r>
          </w:p>
        </w:tc>
        <w:tc>
          <w:tcPr>
            <w:tcW w:type="dxa" w:w="3437"/>
            <w:tcMar>
              <w:top w:w="80" w:type="dxa"/>
              <w:start w:w="90" w:type="dxa"/>
              <w:bottom w:w="80" w:type="dxa"/>
              <w:end w:w="90" w:type="dxa"/>
            </w:tcMar>
            <w:vAlign w:val="top"/>
          </w:tcPr>
          <w:p>
            <w:r>
              <w:rPr>
                <w:rFonts w:ascii="Inter" w:hAnsi="Inter"/>
                <w:b w:val="0"/>
                <w:i w:val="0"/>
                <w:color w:val="0D0F12"/>
                <w:sz w:val="16"/>
              </w:rPr>
              <w:t>Etapa 1 se vende como IA Docs independiente; Workflow se ubica en Etapa 2 opcional.</w:t>
            </w:r>
          </w:p>
        </w:tc>
        <w:tc>
          <w:tcPr>
            <w:tcW w:type="dxa" w:w="3437"/>
            <w:tcMar>
              <w:top w:w="80" w:type="dxa"/>
              <w:start w:w="90" w:type="dxa"/>
              <w:bottom w:w="80" w:type="dxa"/>
              <w:end w:w="90" w:type="dxa"/>
            </w:tcMar>
            <w:vAlign w:val="top"/>
          </w:tcPr>
          <w:p>
            <w:r>
              <w:rPr>
                <w:rFonts w:ascii="Inter" w:hAnsi="Inter"/>
                <w:b w:val="0"/>
                <w:i w:val="0"/>
                <w:color w:val="0D0F12"/>
                <w:sz w:val="16"/>
              </w:rPr>
              <w:t>BASE-02</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N3 — Especificación desarrollo/QA</w:t>
            </w:r>
          </w:p>
        </w:tc>
        <w:tc>
          <w:tcPr>
            <w:tcW w:type="dxa" w:w="3437"/>
            <w:tcMar>
              <w:top w:w="80" w:type="dxa"/>
              <w:start w:w="90" w:type="dxa"/>
              <w:bottom w:w="80" w:type="dxa"/>
              <w:end w:w="90" w:type="dxa"/>
            </w:tcMar>
            <w:vAlign w:val="top"/>
            <w:shd w:fill="FAFAFB"/>
          </w:tcPr>
          <w:p>
            <w:r>
              <w:rPr>
                <w:rFonts w:ascii="Inter" w:hAnsi="Inter"/>
                <w:b w:val="0"/>
                <w:i w:val="0"/>
                <w:color w:val="0D0F12"/>
                <w:sz w:val="16"/>
              </w:rPr>
              <w:t>Workflow Definition, Action Center, Notification Service y Template Catalog figuran BUILD de Etapa 2.</w:t>
            </w:r>
          </w:p>
        </w:tc>
        <w:tc>
          <w:tcPr>
            <w:tcW w:type="dxa" w:w="3437"/>
            <w:tcMar>
              <w:top w:w="80" w:type="dxa"/>
              <w:start w:w="90" w:type="dxa"/>
              <w:bottom w:w="80" w:type="dxa"/>
              <w:end w:w="90" w:type="dxa"/>
            </w:tcMar>
            <w:vAlign w:val="top"/>
            <w:shd w:fill="FAFAFB"/>
          </w:tcPr>
          <w:p>
            <w:r>
              <w:rPr>
                <w:rFonts w:ascii="Inter" w:hAnsi="Inter"/>
                <w:b w:val="0"/>
                <w:i w:val="0"/>
                <w:color w:val="0D0F12"/>
                <w:sz w:val="16"/>
              </w:rPr>
              <w:t>BASE-06</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Estado 05/09/2026</w:t>
            </w:r>
          </w:p>
        </w:tc>
        <w:tc>
          <w:tcPr>
            <w:tcW w:type="dxa" w:w="3437"/>
            <w:tcMar>
              <w:top w:w="80" w:type="dxa"/>
              <w:start w:w="90" w:type="dxa"/>
              <w:bottom w:w="80" w:type="dxa"/>
              <w:end w:w="90" w:type="dxa"/>
            </w:tcMar>
            <w:vAlign w:val="top"/>
          </w:tcPr>
          <w:p>
            <w:r>
              <w:rPr>
                <w:rFonts w:ascii="Inter" w:hAnsi="Inter"/>
                <w:b w:val="0"/>
                <w:i w:val="0"/>
                <w:color w:val="0D0F12"/>
                <w:sz w:val="16"/>
              </w:rPr>
              <w:t>Implementación siguió el criterio “IA Docs primero”; Workflow no está implementado.</w:t>
            </w:r>
          </w:p>
        </w:tc>
        <w:tc>
          <w:tcPr>
            <w:tcW w:type="dxa" w:w="3437"/>
            <w:tcMar>
              <w:top w:w="80" w:type="dxa"/>
              <w:start w:w="90" w:type="dxa"/>
              <w:bottom w:w="80" w:type="dxa"/>
              <w:end w:w="90" w:type="dxa"/>
            </w:tcMar>
            <w:vAlign w:val="top"/>
          </w:tcPr>
          <w:p>
            <w:r>
              <w:rPr>
                <w:rFonts w:ascii="Inter" w:hAnsi="Inter"/>
                <w:b w:val="0"/>
                <w:i w:val="0"/>
                <w:color w:val="0D0F12"/>
                <w:sz w:val="16"/>
              </w:rPr>
              <w:t>ACT-01</w:t>
            </w:r>
          </w:p>
        </w:tc>
      </w:tr>
    </w:tbl>
    <w:p/>
    <w:tbl>
      <w:tblPr>
        <w:tblW w:type="auto" w:w="0"/>
        <w:jc w:val="center"/>
        <w:tblLook w:firstColumn="1" w:firstRow="1" w:lastColumn="0" w:lastRow="0" w:noHBand="0" w:noVBand="1" w:val="04A0"/>
      </w:tblPr>
      <w:tblGrid>
        <w:gridCol w:w="10310"/>
      </w:tblGrid>
      <w:tr>
        <w:tc>
          <w:tcPr>
            <w:tcW w:type="dxa" w:w="10310"/>
            <w:shd w:fill="F3EEFF"/>
            <w:tcMar>
              <w:top w:w="140" w:type="dxa"/>
              <w:start w:w="160" w:type="dxa"/>
              <w:bottom w:w="140" w:type="dxa"/>
              <w:end w:w="160" w:type="dxa"/>
            </w:tcMar>
          </w:tcPr>
          <w:p>
            <w:r>
              <w:rPr>
                <w:rFonts w:ascii="Inter" w:hAnsi="Inter"/>
                <w:b/>
                <w:i w:val="0"/>
                <w:color w:val="6C36FF"/>
                <w:sz w:val="18"/>
              </w:rPr>
              <w:t xml:space="preserve">Regla de precedencia propuesta — </w:t>
            </w:r>
            <w:r>
              <w:rPr>
                <w:rFonts w:ascii="Inter" w:hAnsi="Inter"/>
                <w:b w:val="0"/>
                <w:i w:val="0"/>
                <w:color w:val="0D0F12"/>
                <w:sz w:val="18"/>
              </w:rPr>
              <w:t>Este documento de cierre debe convertirse en baseline normativo de MVP0. A partir de su aprobación: 1) N1/PRD expresa alcance; 2) N2 expresa flujos; 3) N3 expresa backlog y QA; 4) anexos detallan dominios. Los documentos V7 que contradigan el rebaseline quedan “superseded for scope”, no eliminados.</w:t>
            </w:r>
          </w:p>
        </w:tc>
      </w:tr>
    </w:tbl>
    <w:p/>
    <w:p>
      <w:pPr>
        <w:pStyle w:val="Heading1"/>
      </w:pPr>
      <w:r>
        <w:t>3. Qué debe preservarse del MVP0 actual</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3437"/>
        <w:gridCol w:w="3437"/>
        <w:gridCol w:w="3437"/>
      </w:tblGrid>
      <w:tr>
        <w:trPr>
          <w:tblHeader w:val="true"/>
        </w:trPr>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Capacidad</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Estado actual</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Decisión</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Ingesta segura</w:t>
            </w:r>
          </w:p>
        </w:tc>
        <w:tc>
          <w:tcPr>
            <w:tcW w:type="dxa" w:w="3437"/>
            <w:tcMar>
              <w:top w:w="80" w:type="dxa"/>
              <w:start w:w="90" w:type="dxa"/>
              <w:bottom w:w="80" w:type="dxa"/>
              <w:end w:w="90" w:type="dxa"/>
            </w:tcMar>
            <w:vAlign w:val="top"/>
          </w:tcPr>
          <w:p>
            <w:r>
              <w:rPr>
                <w:rFonts w:ascii="Inter" w:hAnsi="Inter"/>
                <w:b w:val="0"/>
                <w:i w:val="0"/>
                <w:color w:val="0D0F12"/>
                <w:sz w:val="16"/>
              </w:rPr>
              <w:t>Antivirus, tipo real por contenido, tamaño, portal/API.</w:t>
            </w:r>
          </w:p>
        </w:tc>
        <w:tc>
          <w:tcPr>
            <w:tcW w:type="dxa" w:w="3437"/>
            <w:tcMar>
              <w:top w:w="80" w:type="dxa"/>
              <w:start w:w="90" w:type="dxa"/>
              <w:bottom w:w="80" w:type="dxa"/>
              <w:end w:w="90" w:type="dxa"/>
            </w:tcMar>
            <w:vAlign w:val="top"/>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Document AI</w:t>
            </w:r>
          </w:p>
        </w:tc>
        <w:tc>
          <w:tcPr>
            <w:tcW w:type="dxa" w:w="3437"/>
            <w:tcMar>
              <w:top w:w="80" w:type="dxa"/>
              <w:start w:w="90" w:type="dxa"/>
              <w:bottom w:w="80" w:type="dxa"/>
              <w:end w:w="90" w:type="dxa"/>
            </w:tcMar>
            <w:vAlign w:val="top"/>
            <w:shd w:fill="FAFAFB"/>
          </w:tcPr>
          <w:p>
            <w:r>
              <w:rPr>
                <w:rFonts w:ascii="Inter" w:hAnsi="Inter"/>
                <w:b w:val="0"/>
                <w:i w:val="0"/>
                <w:color w:val="0D0F12"/>
                <w:sz w:val="16"/>
              </w:rPr>
              <w:t>Clasificación automática, captura genérica, extracción Gemini con DeepSeek de respaldo, confidence por campo.</w:t>
            </w:r>
          </w:p>
        </w:tc>
        <w:tc>
          <w:tcPr>
            <w:tcW w:type="dxa" w:w="3437"/>
            <w:tcMar>
              <w:top w:w="80" w:type="dxa"/>
              <w:start w:w="90" w:type="dxa"/>
              <w:bottom w:w="80" w:type="dxa"/>
              <w:end w:w="90" w:type="dxa"/>
            </w:tcMar>
            <w:vAlign w:val="top"/>
            <w:shd w:fill="FAFAFB"/>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Validación</w:t>
            </w:r>
          </w:p>
        </w:tc>
        <w:tc>
          <w:tcPr>
            <w:tcW w:type="dxa" w:w="3437"/>
            <w:tcMar>
              <w:top w:w="80" w:type="dxa"/>
              <w:start w:w="90" w:type="dxa"/>
              <w:bottom w:w="80" w:type="dxa"/>
              <w:end w:w="90" w:type="dxa"/>
            </w:tcMar>
            <w:vAlign w:val="top"/>
          </w:tcPr>
          <w:p>
            <w:r>
              <w:rPr>
                <w:rFonts w:ascii="Inter" w:hAnsi="Inter"/>
                <w:b w:val="0"/>
                <w:i w:val="0"/>
                <w:color w:val="0D0F12"/>
                <w:sz w:val="16"/>
              </w:rPr>
              <w:t>Reglas, excepciones claras, revisión humana y motivo obligatorio.</w:t>
            </w:r>
          </w:p>
        </w:tc>
        <w:tc>
          <w:tcPr>
            <w:tcW w:type="dxa" w:w="3437"/>
            <w:tcMar>
              <w:top w:w="80" w:type="dxa"/>
              <w:start w:w="90" w:type="dxa"/>
              <w:bottom w:w="80" w:type="dxa"/>
              <w:end w:w="90" w:type="dxa"/>
            </w:tcMar>
            <w:vAlign w:val="top"/>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Aprendizaje</w:t>
            </w:r>
          </w:p>
        </w:tc>
        <w:tc>
          <w:tcPr>
            <w:tcW w:type="dxa" w:w="3437"/>
            <w:tcMar>
              <w:top w:w="80" w:type="dxa"/>
              <w:start w:w="90" w:type="dxa"/>
              <w:bottom w:w="80" w:type="dxa"/>
              <w:end w:w="90" w:type="dxa"/>
            </w:tcMar>
            <w:vAlign w:val="top"/>
            <w:shd w:fill="FAFAFB"/>
          </w:tcPr>
          <w:p>
            <w:r>
              <w:rPr>
                <w:rFonts w:ascii="Inter" w:hAnsi="Inter"/>
                <w:b w:val="0"/>
                <w:i w:val="0"/>
                <w:color w:val="0D0F12"/>
                <w:sz w:val="16"/>
              </w:rPr>
              <w:t>Correcciones alimentan mejora; mantener trazabilidad y quality gates.</w:t>
            </w:r>
          </w:p>
        </w:tc>
        <w:tc>
          <w:tcPr>
            <w:tcW w:type="dxa" w:w="3437"/>
            <w:tcMar>
              <w:top w:w="80" w:type="dxa"/>
              <w:start w:w="90" w:type="dxa"/>
              <w:bottom w:w="80" w:type="dxa"/>
              <w:end w:w="90" w:type="dxa"/>
            </w:tcMar>
            <w:vAlign w:val="top"/>
            <w:shd w:fill="FAFAFB"/>
          </w:tcPr>
          <w:p>
            <w:r>
              <w:rPr>
                <w:rFonts w:ascii="Inter" w:hAnsi="Inter"/>
                <w:b w:val="0"/>
                <w:i w:val="0"/>
                <w:color w:val="0D0F12"/>
                <w:sz w:val="16"/>
              </w:rPr>
              <w:t>KEEP + gobernar</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Gobernanza</w:t>
            </w:r>
          </w:p>
        </w:tc>
        <w:tc>
          <w:tcPr>
            <w:tcW w:type="dxa" w:w="3437"/>
            <w:tcMar>
              <w:top w:w="80" w:type="dxa"/>
              <w:start w:w="90" w:type="dxa"/>
              <w:bottom w:w="80" w:type="dxa"/>
              <w:end w:w="90" w:type="dxa"/>
            </w:tcMar>
            <w:vAlign w:val="top"/>
          </w:tcPr>
          <w:p>
            <w:r>
              <w:rPr>
                <w:rFonts w:ascii="Inter" w:hAnsi="Inter"/>
                <w:b w:val="0"/>
                <w:i w:val="0"/>
                <w:color w:val="0D0F12"/>
                <w:sz w:val="16"/>
              </w:rPr>
              <w:t>Auditoría de actor/modelo/prompt; retención, borrado por plazo, legal hold.</w:t>
            </w:r>
          </w:p>
        </w:tc>
        <w:tc>
          <w:tcPr>
            <w:tcW w:type="dxa" w:w="3437"/>
            <w:tcMar>
              <w:top w:w="80" w:type="dxa"/>
              <w:start w:w="90" w:type="dxa"/>
              <w:bottom w:w="80" w:type="dxa"/>
              <w:end w:w="90" w:type="dxa"/>
            </w:tcMar>
            <w:vAlign w:val="top"/>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Multi-tenant / IAM</w:t>
            </w:r>
          </w:p>
        </w:tc>
        <w:tc>
          <w:tcPr>
            <w:tcW w:type="dxa" w:w="3437"/>
            <w:tcMar>
              <w:top w:w="80" w:type="dxa"/>
              <w:start w:w="90" w:type="dxa"/>
              <w:bottom w:w="80" w:type="dxa"/>
              <w:end w:w="90" w:type="dxa"/>
            </w:tcMar>
            <w:vAlign w:val="top"/>
            <w:shd w:fill="FAFAFB"/>
          </w:tcPr>
          <w:p>
            <w:r>
              <w:rPr>
                <w:rFonts w:ascii="Inter" w:hAnsi="Inter"/>
                <w:b w:val="0"/>
                <w:i w:val="0"/>
                <w:color w:val="0D0F12"/>
                <w:sz w:val="16"/>
              </w:rPr>
              <w:t>Aislamiento en capas, Keycloak, SSO embebido con Follow/CIMA/Valid360.</w:t>
            </w:r>
          </w:p>
        </w:tc>
        <w:tc>
          <w:tcPr>
            <w:tcW w:type="dxa" w:w="3437"/>
            <w:tcMar>
              <w:top w:w="80" w:type="dxa"/>
              <w:start w:w="90" w:type="dxa"/>
              <w:bottom w:w="80" w:type="dxa"/>
              <w:end w:w="90" w:type="dxa"/>
            </w:tcMar>
            <w:vAlign w:val="top"/>
            <w:shd w:fill="FAFAFB"/>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Integración</w:t>
            </w:r>
          </w:p>
        </w:tc>
        <w:tc>
          <w:tcPr>
            <w:tcW w:type="dxa" w:w="3437"/>
            <w:tcMar>
              <w:top w:w="80" w:type="dxa"/>
              <w:start w:w="90" w:type="dxa"/>
              <w:bottom w:w="80" w:type="dxa"/>
              <w:end w:w="90" w:type="dxa"/>
            </w:tcMar>
            <w:vAlign w:val="top"/>
          </w:tcPr>
          <w:p>
            <w:r>
              <w:rPr>
                <w:rFonts w:ascii="Inter" w:hAnsi="Inter"/>
                <w:b w:val="0"/>
                <w:i w:val="0"/>
                <w:color w:val="0D0F12"/>
                <w:sz w:val="16"/>
              </w:rPr>
              <w:t>Webhooks HMAC, reintentos, DLQ; API REST.</w:t>
            </w:r>
          </w:p>
        </w:tc>
        <w:tc>
          <w:tcPr>
            <w:tcW w:type="dxa" w:w="3437"/>
            <w:tcMar>
              <w:top w:w="80" w:type="dxa"/>
              <w:start w:w="90" w:type="dxa"/>
              <w:bottom w:w="80" w:type="dxa"/>
              <w:end w:w="90" w:type="dxa"/>
            </w:tcMar>
            <w:vAlign w:val="top"/>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Archivo/export</w:t>
            </w:r>
          </w:p>
        </w:tc>
        <w:tc>
          <w:tcPr>
            <w:tcW w:type="dxa" w:w="3437"/>
            <w:tcMar>
              <w:top w:w="80" w:type="dxa"/>
              <w:start w:w="90" w:type="dxa"/>
              <w:bottom w:w="80" w:type="dxa"/>
              <w:end w:w="90" w:type="dxa"/>
            </w:tcMar>
            <w:vAlign w:val="top"/>
            <w:shd w:fill="FAFAFB"/>
          </w:tcPr>
          <w:p>
            <w:r>
              <w:rPr>
                <w:rFonts w:ascii="Inter" w:hAnsi="Inter"/>
                <w:b w:val="0"/>
                <w:i w:val="0"/>
                <w:color w:val="0D0F12"/>
                <w:sz w:val="16"/>
              </w:rPr>
              <w:t>ZIP, índice, manifiesto de hashes.</w:t>
            </w:r>
          </w:p>
        </w:tc>
        <w:tc>
          <w:tcPr>
            <w:tcW w:type="dxa" w:w="3437"/>
            <w:tcMar>
              <w:top w:w="80" w:type="dxa"/>
              <w:start w:w="90" w:type="dxa"/>
              <w:bottom w:w="80" w:type="dxa"/>
              <w:end w:w="90" w:type="dxa"/>
            </w:tcMar>
            <w:vAlign w:val="top"/>
            <w:shd w:fill="FAFAFB"/>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FinOps</w:t>
            </w:r>
          </w:p>
        </w:tc>
        <w:tc>
          <w:tcPr>
            <w:tcW w:type="dxa" w:w="3437"/>
            <w:tcMar>
              <w:top w:w="80" w:type="dxa"/>
              <w:start w:w="90" w:type="dxa"/>
              <w:bottom w:w="80" w:type="dxa"/>
              <w:end w:w="90" w:type="dxa"/>
            </w:tcMar>
            <w:vAlign w:val="top"/>
          </w:tcPr>
          <w:p>
            <w:r>
              <w:rPr>
                <w:rFonts w:ascii="Inter" w:hAnsi="Inter"/>
                <w:b w:val="0"/>
                <w:i w:val="0"/>
                <w:color w:val="0D0F12"/>
                <w:sz w:val="16"/>
              </w:rPr>
              <w:t>Costo/presupuesto por tenant.</w:t>
            </w:r>
          </w:p>
        </w:tc>
        <w:tc>
          <w:tcPr>
            <w:tcW w:type="dxa" w:w="3437"/>
            <w:tcMar>
              <w:top w:w="80" w:type="dxa"/>
              <w:start w:w="90" w:type="dxa"/>
              <w:bottom w:w="80" w:type="dxa"/>
              <w:end w:w="90" w:type="dxa"/>
            </w:tcMar>
            <w:vAlign w:val="top"/>
          </w:tcPr>
          <w:p>
            <w:r>
              <w:rPr>
                <w:rFonts w:ascii="Inter" w:hAnsi="Inter"/>
                <w:b w:val="0"/>
                <w:i w:val="0"/>
                <w:color w:val="0D0F12"/>
                <w:sz w:val="16"/>
              </w:rPr>
              <w:t>KEEP</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UX existente</w:t>
            </w:r>
          </w:p>
        </w:tc>
        <w:tc>
          <w:tcPr>
            <w:tcW w:type="dxa" w:w="3437"/>
            <w:tcMar>
              <w:top w:w="80" w:type="dxa"/>
              <w:start w:w="90" w:type="dxa"/>
              <w:bottom w:w="80" w:type="dxa"/>
              <w:end w:w="90" w:type="dxa"/>
            </w:tcMar>
            <w:vAlign w:val="top"/>
            <w:shd w:fill="FAFAFB"/>
          </w:tcPr>
          <w:p>
            <w:r>
              <w:rPr>
                <w:rFonts w:ascii="Inter" w:hAnsi="Inter"/>
                <w:b w:val="0"/>
                <w:i w:val="0"/>
                <w:color w:val="0D0F12"/>
                <w:sz w:val="16"/>
              </w:rPr>
              <w:t>Login, resumen, bandeja, visor, excepciones, panel, tipos nuevos.</w:t>
            </w:r>
          </w:p>
        </w:tc>
        <w:tc>
          <w:tcPr>
            <w:tcW w:type="dxa" w:w="3437"/>
            <w:tcMar>
              <w:top w:w="80" w:type="dxa"/>
              <w:start w:w="90" w:type="dxa"/>
              <w:bottom w:w="80" w:type="dxa"/>
              <w:end w:w="90" w:type="dxa"/>
            </w:tcMar>
            <w:vAlign w:val="top"/>
            <w:shd w:fill="FAFAFB"/>
          </w:tcPr>
          <w:p>
            <w:r>
              <w:rPr>
                <w:rFonts w:ascii="Inter" w:hAnsi="Inter"/>
                <w:b w:val="0"/>
                <w:i w:val="0"/>
                <w:color w:val="0D0F12"/>
                <w:sz w:val="16"/>
              </w:rPr>
              <w:t>KEEP + validar E2E</w:t>
            </w:r>
          </w:p>
        </w:tc>
      </w:tr>
    </w:tbl>
    <w:p/>
    <w:p>
      <w:pPr>
        <w:pStyle w:val="Heading1"/>
      </w:pPr>
      <w:r>
        <w:t>4. Matriz de desvíos contra el MVP0 Comercial</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2577"/>
        <w:gridCol w:w="2577"/>
        <w:gridCol w:w="2577"/>
        <w:gridCol w:w="2577"/>
      </w:tblGrid>
      <w:tr>
        <w:trPr>
          <w:tblHeader w:val="true"/>
        </w:trPr>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Bloque</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Situación</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Objetivo MVP0</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Prioridad</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Workflow Runtime</w:t>
            </w:r>
          </w:p>
        </w:tc>
        <w:tc>
          <w:tcPr>
            <w:tcW w:type="dxa" w:w="2577"/>
            <w:tcMar>
              <w:top w:w="80" w:type="dxa"/>
              <w:start w:w="90" w:type="dxa"/>
              <w:bottom w:w="80" w:type="dxa"/>
              <w:end w:w="90" w:type="dxa"/>
            </w:tcMar>
            <w:vAlign w:val="top"/>
          </w:tcPr>
          <w:p>
            <w:r>
              <w:rPr>
                <w:rFonts w:ascii="Inter" w:hAnsi="Inter"/>
                <w:b w:val="0"/>
                <w:i w:val="0"/>
                <w:color w:val="0D0F12"/>
                <w:sz w:val="15"/>
              </w:rPr>
              <w:t>No implementado.</w:t>
            </w:r>
          </w:p>
        </w:tc>
        <w:tc>
          <w:tcPr>
            <w:tcW w:type="dxa" w:w="2577"/>
            <w:tcMar>
              <w:top w:w="80" w:type="dxa"/>
              <w:start w:w="90" w:type="dxa"/>
              <w:bottom w:w="80" w:type="dxa"/>
              <w:end w:w="90" w:type="dxa"/>
            </w:tcMar>
            <w:vAlign w:val="top"/>
          </w:tcPr>
          <w:p>
            <w:r>
              <w:rPr>
                <w:rFonts w:ascii="Inter" w:hAnsi="Inter"/>
                <w:b w:val="0"/>
                <w:i w:val="0"/>
                <w:color w:val="0D0F12"/>
                <w:sz w:val="15"/>
              </w:rPr>
              <w:t>Instancias, pasos, responsables, vencimientos, decisiones, tareas, cierre.</w:t>
            </w:r>
          </w:p>
        </w:tc>
        <w:tc>
          <w:tcPr>
            <w:tcW w:type="dxa" w:w="2577"/>
            <w:tcMar>
              <w:top w:w="80" w:type="dxa"/>
              <w:start w:w="90" w:type="dxa"/>
              <w:bottom w:w="80" w:type="dxa"/>
              <w:end w:w="90" w:type="dxa"/>
            </w:tcMar>
            <w:vAlign w:val="top"/>
          </w:tcPr>
          <w:p>
            <w:r>
              <w:rPr>
                <w:rFonts w:ascii="Inter" w:hAnsi="Inter"/>
                <w:b w:val="0"/>
                <w:i w:val="0"/>
                <w:color w:val="0D0F12"/>
                <w:sz w:val="15"/>
              </w:rPr>
              <w:t>P0 — BUILD/RECOVER</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Studio de procesos</w:t>
            </w:r>
          </w:p>
        </w:tc>
        <w:tc>
          <w:tcPr>
            <w:tcW w:type="dxa" w:w="2577"/>
            <w:tcMar>
              <w:top w:w="80" w:type="dxa"/>
              <w:start w:w="90" w:type="dxa"/>
              <w:bottom w:w="80" w:type="dxa"/>
              <w:end w:w="90" w:type="dxa"/>
            </w:tcMar>
            <w:vAlign w:val="top"/>
            <w:shd w:fill="FAFAFB"/>
          </w:tcPr>
          <w:p>
            <w:r>
              <w:rPr>
                <w:rFonts w:ascii="Inter" w:hAnsi="Inter"/>
                <w:b w:val="0"/>
                <w:i w:val="0"/>
                <w:color w:val="0D0F12"/>
                <w:sz w:val="15"/>
              </w:rPr>
              <w:t>No implementado.</w:t>
            </w:r>
          </w:p>
        </w:tc>
        <w:tc>
          <w:tcPr>
            <w:tcW w:type="dxa" w:w="2577"/>
            <w:tcMar>
              <w:top w:w="80" w:type="dxa"/>
              <w:start w:w="90" w:type="dxa"/>
              <w:bottom w:w="80" w:type="dxa"/>
              <w:end w:w="90" w:type="dxa"/>
            </w:tcMar>
            <w:vAlign w:val="top"/>
            <w:shd w:fill="FAFAFB"/>
          </w:tcPr>
          <w:p>
            <w:r>
              <w:rPr>
                <w:rFonts w:ascii="Inter" w:hAnsi="Inter"/>
                <w:b w:val="0"/>
                <w:i w:val="0"/>
                <w:color w:val="0D0F12"/>
                <w:sz w:val="15"/>
              </w:rPr>
              <w:t>Editor guiado lista/timeline para crear/duplicar/adaptar plantillas sin Canvas completo.</w:t>
            </w:r>
          </w:p>
        </w:tc>
        <w:tc>
          <w:tcPr>
            <w:tcW w:type="dxa" w:w="2577"/>
            <w:tcMar>
              <w:top w:w="80" w:type="dxa"/>
              <w:start w:w="90" w:type="dxa"/>
              <w:bottom w:w="80" w:type="dxa"/>
              <w:end w:w="90" w:type="dxa"/>
            </w:tcMar>
            <w:vAlign w:val="top"/>
            <w:shd w:fill="FAFAFB"/>
          </w:tcPr>
          <w:p>
            <w:r>
              <w:rPr>
                <w:rFonts w:ascii="Inter" w:hAnsi="Inter"/>
                <w:b w:val="0"/>
                <w:i w:val="0"/>
                <w:color w:val="0D0F12"/>
                <w:sz w:val="15"/>
              </w:rPr>
              <w:t>P0 — BUILD</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Plantillas de proceso</w:t>
            </w:r>
          </w:p>
        </w:tc>
        <w:tc>
          <w:tcPr>
            <w:tcW w:type="dxa" w:w="2577"/>
            <w:tcMar>
              <w:top w:w="80" w:type="dxa"/>
              <w:start w:w="90" w:type="dxa"/>
              <w:bottom w:w="80" w:type="dxa"/>
              <w:end w:w="90" w:type="dxa"/>
            </w:tcMar>
            <w:vAlign w:val="top"/>
          </w:tcPr>
          <w:p>
            <w:r>
              <w:rPr>
                <w:rFonts w:ascii="Inter" w:hAnsi="Inter"/>
                <w:b w:val="0"/>
                <w:i w:val="0"/>
                <w:color w:val="0D0F12"/>
                <w:sz w:val="15"/>
              </w:rPr>
              <w:t>Sólo catálogo documental/tipos.</w:t>
            </w:r>
          </w:p>
        </w:tc>
        <w:tc>
          <w:tcPr>
            <w:tcW w:type="dxa" w:w="2577"/>
            <w:tcMar>
              <w:top w:w="80" w:type="dxa"/>
              <w:start w:w="90" w:type="dxa"/>
              <w:bottom w:w="80" w:type="dxa"/>
              <w:end w:w="90" w:type="dxa"/>
            </w:tcMar>
            <w:vAlign w:val="top"/>
          </w:tcPr>
          <w:p>
            <w:r>
              <w:rPr>
                <w:rFonts w:ascii="Inter" w:hAnsi="Inter"/>
                <w:b w:val="0"/>
                <w:i w:val="0"/>
                <w:color w:val="0D0F12"/>
                <w:sz w:val="15"/>
              </w:rPr>
              <w:t>Template Definition + versiones + overlays + instalación por tenant.</w:t>
            </w:r>
          </w:p>
        </w:tc>
        <w:tc>
          <w:tcPr>
            <w:tcW w:type="dxa" w:w="2577"/>
            <w:tcMar>
              <w:top w:w="80" w:type="dxa"/>
              <w:start w:w="90" w:type="dxa"/>
              <w:bottom w:w="80" w:type="dxa"/>
              <w:end w:w="90" w:type="dxa"/>
            </w:tcMar>
            <w:vAlign w:val="top"/>
          </w:tcPr>
          <w:p>
            <w:r>
              <w:rPr>
                <w:rFonts w:ascii="Inter" w:hAnsi="Inter"/>
                <w:b w:val="0"/>
                <w:i w:val="0"/>
                <w:color w:val="0D0F12"/>
                <w:sz w:val="15"/>
              </w:rPr>
              <w:t>P0 — BUILD</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Usuarios terceros</w:t>
            </w:r>
          </w:p>
        </w:tc>
        <w:tc>
          <w:tcPr>
            <w:tcW w:type="dxa" w:w="2577"/>
            <w:tcMar>
              <w:top w:w="80" w:type="dxa"/>
              <w:start w:w="90" w:type="dxa"/>
              <w:bottom w:w="80" w:type="dxa"/>
              <w:end w:w="90" w:type="dxa"/>
            </w:tcMar>
            <w:vAlign w:val="top"/>
            <w:shd w:fill="FAFAFB"/>
          </w:tcPr>
          <w:p>
            <w:r>
              <w:rPr>
                <w:rFonts w:ascii="Inter" w:hAnsi="Inter"/>
                <w:b w:val="0"/>
                <w:i w:val="0"/>
                <w:color w:val="0D0F12"/>
                <w:sz w:val="15"/>
              </w:rPr>
              <w:t>No hay flujo operativo de proceso.</w:t>
            </w:r>
          </w:p>
        </w:tc>
        <w:tc>
          <w:tcPr>
            <w:tcW w:type="dxa" w:w="2577"/>
            <w:tcMar>
              <w:top w:w="80" w:type="dxa"/>
              <w:start w:w="90" w:type="dxa"/>
              <w:bottom w:w="80" w:type="dxa"/>
              <w:end w:w="90" w:type="dxa"/>
            </w:tcMar>
            <w:vAlign w:val="top"/>
            <w:shd w:fill="FAFAFB"/>
          </w:tcPr>
          <w:p>
            <w:r>
              <w:rPr>
                <w:rFonts w:ascii="Inter" w:hAnsi="Inter"/>
                <w:b w:val="0"/>
                <w:i w:val="0"/>
                <w:color w:val="0D0F12"/>
                <w:sz w:val="15"/>
              </w:rPr>
              <w:t>Cuenta externa limitada o Secure Action Link con scope/TTL.</w:t>
            </w:r>
          </w:p>
        </w:tc>
        <w:tc>
          <w:tcPr>
            <w:tcW w:type="dxa" w:w="2577"/>
            <w:tcMar>
              <w:top w:w="80" w:type="dxa"/>
              <w:start w:w="90" w:type="dxa"/>
              <w:bottom w:w="80" w:type="dxa"/>
              <w:end w:w="90" w:type="dxa"/>
            </w:tcMar>
            <w:vAlign w:val="top"/>
            <w:shd w:fill="FAFAFB"/>
          </w:tcPr>
          <w:p>
            <w:r>
              <w:rPr>
                <w:rFonts w:ascii="Inter" w:hAnsi="Inter"/>
                <w:b w:val="0"/>
                <w:i w:val="0"/>
                <w:color w:val="0D0F12"/>
                <w:sz w:val="15"/>
              </w:rPr>
              <w:t>P0 — BUILD</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IA Supervisora</w:t>
            </w:r>
          </w:p>
        </w:tc>
        <w:tc>
          <w:tcPr>
            <w:tcW w:type="dxa" w:w="2577"/>
            <w:tcMar>
              <w:top w:w="80" w:type="dxa"/>
              <w:start w:w="90" w:type="dxa"/>
              <w:bottom w:w="80" w:type="dxa"/>
              <w:end w:w="90" w:type="dxa"/>
            </w:tcMar>
            <w:vAlign w:val="top"/>
          </w:tcPr>
          <w:p>
            <w:r>
              <w:rPr>
                <w:rFonts w:ascii="Inter" w:hAnsi="Inter"/>
                <w:b w:val="0"/>
                <w:i w:val="0"/>
                <w:color w:val="0D0F12"/>
                <w:sz w:val="15"/>
              </w:rPr>
              <w:t>Excepciones documentales, no supervisión de proceso.</w:t>
            </w:r>
          </w:p>
        </w:tc>
        <w:tc>
          <w:tcPr>
            <w:tcW w:type="dxa" w:w="2577"/>
            <w:tcMar>
              <w:top w:w="80" w:type="dxa"/>
              <w:start w:w="90" w:type="dxa"/>
              <w:bottom w:w="80" w:type="dxa"/>
              <w:end w:w="90" w:type="dxa"/>
            </w:tcMar>
            <w:vAlign w:val="top"/>
          </w:tcPr>
          <w:p>
            <w:r>
              <w:rPr>
                <w:rFonts w:ascii="Inter" w:hAnsi="Inter"/>
                <w:b w:val="0"/>
                <w:i w:val="0"/>
                <w:color w:val="0D0F12"/>
                <w:sz w:val="15"/>
              </w:rPr>
              <w:t>Controles configurables por plantilla: documentos, cross-doc, SLA, secuencia y acciones.</w:t>
            </w:r>
          </w:p>
        </w:tc>
        <w:tc>
          <w:tcPr>
            <w:tcW w:type="dxa" w:w="2577"/>
            <w:tcMar>
              <w:top w:w="80" w:type="dxa"/>
              <w:start w:w="90" w:type="dxa"/>
              <w:bottom w:w="80" w:type="dxa"/>
              <w:end w:w="90" w:type="dxa"/>
            </w:tcMar>
            <w:vAlign w:val="top"/>
          </w:tcPr>
          <w:p>
            <w:r>
              <w:rPr>
                <w:rFonts w:ascii="Inter" w:hAnsi="Inter"/>
                <w:b w:val="0"/>
                <w:i w:val="0"/>
                <w:color w:val="0D0F12"/>
                <w:sz w:val="15"/>
              </w:rPr>
              <w:t>P0 — BUILD ligero</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Partners/consultores</w:t>
            </w:r>
          </w:p>
        </w:tc>
        <w:tc>
          <w:tcPr>
            <w:tcW w:type="dxa" w:w="2577"/>
            <w:tcMar>
              <w:top w:w="80" w:type="dxa"/>
              <w:start w:w="90" w:type="dxa"/>
              <w:bottom w:w="80" w:type="dxa"/>
              <w:end w:w="90" w:type="dxa"/>
            </w:tcMar>
            <w:vAlign w:val="top"/>
            <w:shd w:fill="FAFAFB"/>
          </w:tcPr>
          <w:p>
            <w:r>
              <w:rPr>
                <w:rFonts w:ascii="Inter" w:hAnsi="Inter"/>
                <w:b w:val="0"/>
                <w:i w:val="0"/>
                <w:color w:val="0D0F12"/>
                <w:sz w:val="15"/>
              </w:rPr>
              <w:t>No modelados como dominio comercial.</w:t>
            </w:r>
          </w:p>
        </w:tc>
        <w:tc>
          <w:tcPr>
            <w:tcW w:type="dxa" w:w="2577"/>
            <w:tcMar>
              <w:top w:w="80" w:type="dxa"/>
              <w:start w:w="90" w:type="dxa"/>
              <w:bottom w:w="80" w:type="dxa"/>
              <w:end w:w="90" w:type="dxa"/>
            </w:tcMar>
            <w:vAlign w:val="top"/>
            <w:shd w:fill="FAFAFB"/>
          </w:tcPr>
          <w:p>
            <w:r>
              <w:rPr>
                <w:rFonts w:ascii="Inter" w:hAnsi="Inter"/>
                <w:b w:val="0"/>
                <w:i w:val="0"/>
                <w:color w:val="0D0F12"/>
                <w:sz w:val="15"/>
              </w:rPr>
              <w:t>Organización partner, delegación por cliente, autoría y ownership de templates.</w:t>
            </w:r>
          </w:p>
        </w:tc>
        <w:tc>
          <w:tcPr>
            <w:tcW w:type="dxa" w:w="2577"/>
            <w:tcMar>
              <w:top w:w="80" w:type="dxa"/>
              <w:start w:w="90" w:type="dxa"/>
              <w:bottom w:w="80" w:type="dxa"/>
              <w:end w:w="90" w:type="dxa"/>
            </w:tcMar>
            <w:vAlign w:val="top"/>
            <w:shd w:fill="FAFAFB"/>
          </w:tcPr>
          <w:p>
            <w:r>
              <w:rPr>
                <w:rFonts w:ascii="Inter" w:hAnsi="Inter"/>
                <w:b w:val="0"/>
                <w:i w:val="0"/>
                <w:color w:val="0D0F12"/>
                <w:sz w:val="15"/>
              </w:rPr>
              <w:t>P0 — FOUNDATION</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Marketplace-ready</w:t>
            </w:r>
          </w:p>
        </w:tc>
        <w:tc>
          <w:tcPr>
            <w:tcW w:type="dxa" w:w="2577"/>
            <w:tcMar>
              <w:top w:w="80" w:type="dxa"/>
              <w:start w:w="90" w:type="dxa"/>
              <w:bottom w:w="80" w:type="dxa"/>
              <w:end w:w="90" w:type="dxa"/>
            </w:tcMar>
            <w:vAlign w:val="top"/>
          </w:tcPr>
          <w:p>
            <w:r>
              <w:rPr>
                <w:rFonts w:ascii="Inter" w:hAnsi="Inter"/>
                <w:b w:val="0"/>
                <w:i w:val="0"/>
                <w:color w:val="0D0F12"/>
                <w:sz w:val="15"/>
              </w:rPr>
              <w:t>Conceptual en V7; sin modelo completo.</w:t>
            </w:r>
          </w:p>
        </w:tc>
        <w:tc>
          <w:tcPr>
            <w:tcW w:type="dxa" w:w="2577"/>
            <w:tcMar>
              <w:top w:w="80" w:type="dxa"/>
              <w:start w:w="90" w:type="dxa"/>
              <w:bottom w:w="80" w:type="dxa"/>
              <w:end w:w="90" w:type="dxa"/>
            </w:tcMar>
            <w:vAlign w:val="top"/>
          </w:tcPr>
          <w:p>
            <w:r>
              <w:rPr>
                <w:rFonts w:ascii="Inter" w:hAnsi="Inter"/>
                <w:b w:val="0"/>
                <w:i w:val="0"/>
                <w:color w:val="0D0F12"/>
                <w:sz w:val="15"/>
              </w:rPr>
              <w:t>Provenance/fork/install/licence metadata/listing status desde MVP0; checkout futuro.</w:t>
            </w:r>
          </w:p>
        </w:tc>
        <w:tc>
          <w:tcPr>
            <w:tcW w:type="dxa" w:w="2577"/>
            <w:tcMar>
              <w:top w:w="80" w:type="dxa"/>
              <w:start w:w="90" w:type="dxa"/>
              <w:bottom w:w="80" w:type="dxa"/>
              <w:end w:w="90" w:type="dxa"/>
            </w:tcMar>
            <w:vAlign w:val="top"/>
          </w:tcPr>
          <w:p>
            <w:r>
              <w:rPr>
                <w:rFonts w:ascii="Inter" w:hAnsi="Inter"/>
                <w:b w:val="0"/>
                <w:i w:val="0"/>
                <w:color w:val="0D0F12"/>
                <w:sz w:val="15"/>
              </w:rPr>
              <w:t>P0 — DATA MODEL</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COMEX multimodal</w:t>
            </w:r>
          </w:p>
        </w:tc>
        <w:tc>
          <w:tcPr>
            <w:tcW w:type="dxa" w:w="2577"/>
            <w:tcMar>
              <w:top w:w="80" w:type="dxa"/>
              <w:start w:w="90" w:type="dxa"/>
              <w:bottom w:w="80" w:type="dxa"/>
              <w:end w:w="90" w:type="dxa"/>
            </w:tcMar>
            <w:vAlign w:val="top"/>
            <w:shd w:fill="FAFAFB"/>
          </w:tcPr>
          <w:p>
            <w:r>
              <w:rPr>
                <w:rFonts w:ascii="Inter" w:hAnsi="Inter"/>
                <w:b w:val="0"/>
                <w:i w:val="0"/>
                <w:color w:val="0D0F12"/>
                <w:sz w:val="15"/>
              </w:rPr>
              <w:t>Biblioteca V7 cubre mar/aire/tierra; no multimodal explícito.</w:t>
            </w:r>
          </w:p>
        </w:tc>
        <w:tc>
          <w:tcPr>
            <w:tcW w:type="dxa" w:w="2577"/>
            <w:tcMar>
              <w:top w:w="80" w:type="dxa"/>
              <w:start w:w="90" w:type="dxa"/>
              <w:bottom w:w="80" w:type="dxa"/>
              <w:end w:w="90" w:type="dxa"/>
            </w:tcMar>
            <w:vAlign w:val="top"/>
            <w:shd w:fill="FAFAFB"/>
          </w:tcPr>
          <w:p>
            <w:r>
              <w:rPr>
                <w:rFonts w:ascii="Inter" w:hAnsi="Inter"/>
                <w:b w:val="0"/>
                <w:i w:val="0"/>
                <w:color w:val="0D0F12"/>
                <w:sz w:val="15"/>
              </w:rPr>
              <w:t>Agregar road+sea y road+air import/export + reglas de transferencia.</w:t>
            </w:r>
          </w:p>
        </w:tc>
        <w:tc>
          <w:tcPr>
            <w:tcW w:type="dxa" w:w="2577"/>
            <w:tcMar>
              <w:top w:w="80" w:type="dxa"/>
              <w:start w:w="90" w:type="dxa"/>
              <w:bottom w:w="80" w:type="dxa"/>
              <w:end w:w="90" w:type="dxa"/>
            </w:tcMar>
            <w:vAlign w:val="top"/>
            <w:shd w:fill="FAFAFB"/>
          </w:tcPr>
          <w:p>
            <w:r>
              <w:rPr>
                <w:rFonts w:ascii="Inter" w:hAnsi="Inter"/>
                <w:b w:val="0"/>
                <w:i w:val="0"/>
                <w:color w:val="0D0F12"/>
                <w:sz w:val="15"/>
              </w:rPr>
              <w:t>P0 — CONTENT</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Integración Follow</w:t>
            </w:r>
          </w:p>
        </w:tc>
        <w:tc>
          <w:tcPr>
            <w:tcW w:type="dxa" w:w="2577"/>
            <w:tcMar>
              <w:top w:w="80" w:type="dxa"/>
              <w:start w:w="90" w:type="dxa"/>
              <w:bottom w:w="80" w:type="dxa"/>
              <w:end w:w="90" w:type="dxa"/>
            </w:tcMar>
            <w:vAlign w:val="top"/>
          </w:tcPr>
          <w:p>
            <w:r>
              <w:rPr>
                <w:rFonts w:ascii="Inter" w:hAnsi="Inter"/>
                <w:b w:val="0"/>
                <w:i w:val="0"/>
                <w:color w:val="0D0F12"/>
                <w:sz w:val="15"/>
              </w:rPr>
              <w:t>SSO funciona; base define connector/recommender.</w:t>
            </w:r>
          </w:p>
        </w:tc>
        <w:tc>
          <w:tcPr>
            <w:tcW w:type="dxa" w:w="2577"/>
            <w:tcMar>
              <w:top w:w="80" w:type="dxa"/>
              <w:start w:w="90" w:type="dxa"/>
              <w:bottom w:w="80" w:type="dxa"/>
              <w:end w:w="90" w:type="dxa"/>
            </w:tcMar>
            <w:vAlign w:val="top"/>
          </w:tcPr>
          <w:p>
            <w:r>
              <w:rPr>
                <w:rFonts w:ascii="Inter" w:hAnsi="Inter"/>
                <w:b w:val="0"/>
                <w:i w:val="0"/>
                <w:color w:val="0D0F12"/>
                <w:sz w:val="15"/>
              </w:rPr>
              <w:t>Context Contract + Template Recommender + subject_ref genérico.</w:t>
            </w:r>
          </w:p>
        </w:tc>
        <w:tc>
          <w:tcPr>
            <w:tcW w:type="dxa" w:w="2577"/>
            <w:tcMar>
              <w:top w:w="80" w:type="dxa"/>
              <w:start w:w="90" w:type="dxa"/>
              <w:bottom w:w="80" w:type="dxa"/>
              <w:end w:w="90" w:type="dxa"/>
            </w:tcMar>
            <w:vAlign w:val="top"/>
          </w:tcPr>
          <w:p>
            <w:r>
              <w:rPr>
                <w:rFonts w:ascii="Inter" w:hAnsi="Inter"/>
                <w:b w:val="0"/>
                <w:i w:val="0"/>
                <w:color w:val="0D0F12"/>
                <w:sz w:val="15"/>
              </w:rPr>
              <w:t>P0 — ADJUST</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Email intake</w:t>
            </w:r>
          </w:p>
        </w:tc>
        <w:tc>
          <w:tcPr>
            <w:tcW w:type="dxa" w:w="2577"/>
            <w:tcMar>
              <w:top w:w="80" w:type="dxa"/>
              <w:start w:w="90" w:type="dxa"/>
              <w:bottom w:w="80" w:type="dxa"/>
              <w:end w:w="90" w:type="dxa"/>
            </w:tcMar>
            <w:vAlign w:val="top"/>
            <w:shd w:fill="FAFAFB"/>
          </w:tcPr>
          <w:p>
            <w:r>
              <w:rPr>
                <w:rFonts w:ascii="Inter" w:hAnsi="Inter"/>
                <w:b w:val="0"/>
                <w:i w:val="0"/>
                <w:color w:val="0D0F12"/>
                <w:sz w:val="15"/>
              </w:rPr>
              <w:t>Construido y retirado.</w:t>
            </w:r>
          </w:p>
        </w:tc>
        <w:tc>
          <w:tcPr>
            <w:tcW w:type="dxa" w:w="2577"/>
            <w:tcMar>
              <w:top w:w="80" w:type="dxa"/>
              <w:start w:w="90" w:type="dxa"/>
              <w:bottom w:w="80" w:type="dxa"/>
              <w:end w:w="90" w:type="dxa"/>
            </w:tcMar>
            <w:vAlign w:val="top"/>
            <w:shd w:fill="FAFAFB"/>
          </w:tcPr>
          <w:p>
            <w:r>
              <w:rPr>
                <w:rFonts w:ascii="Inter" w:hAnsi="Inter"/>
                <w:b w:val="0"/>
                <w:i w:val="0"/>
                <w:color w:val="0D0F12"/>
                <w:sz w:val="15"/>
              </w:rPr>
              <w:t>Reactivar alias dedicado por tenant/proceso para COMEX; WhatsApp puede quedar opcional.</w:t>
            </w:r>
          </w:p>
        </w:tc>
        <w:tc>
          <w:tcPr>
            <w:tcW w:type="dxa" w:w="2577"/>
            <w:tcMar>
              <w:top w:w="80" w:type="dxa"/>
              <w:start w:w="90" w:type="dxa"/>
              <w:bottom w:w="80" w:type="dxa"/>
              <w:end w:w="90" w:type="dxa"/>
            </w:tcMar>
            <w:vAlign w:val="top"/>
            <w:shd w:fill="FAFAFB"/>
          </w:tcPr>
          <w:p>
            <w:r>
              <w:rPr>
                <w:rFonts w:ascii="Inter" w:hAnsi="Inter"/>
                <w:b w:val="0"/>
                <w:i w:val="0"/>
                <w:color w:val="0D0F12"/>
                <w:sz w:val="15"/>
              </w:rPr>
              <w:t>P1/P0 según piloto</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QA navegador</w:t>
            </w:r>
          </w:p>
        </w:tc>
        <w:tc>
          <w:tcPr>
            <w:tcW w:type="dxa" w:w="2577"/>
            <w:tcMar>
              <w:top w:w="80" w:type="dxa"/>
              <w:start w:w="90" w:type="dxa"/>
              <w:bottom w:w="80" w:type="dxa"/>
              <w:end w:w="90" w:type="dxa"/>
            </w:tcMar>
            <w:vAlign w:val="top"/>
          </w:tcPr>
          <w:p>
            <w:r>
              <w:rPr>
                <w:rFonts w:ascii="Inter" w:hAnsi="Inter"/>
                <w:b w:val="0"/>
                <w:i w:val="0"/>
                <w:color w:val="0D0F12"/>
                <w:sz w:val="15"/>
              </w:rPr>
              <w:t>Sin recorrido humano completo ni Playwright.</w:t>
            </w:r>
          </w:p>
        </w:tc>
        <w:tc>
          <w:tcPr>
            <w:tcW w:type="dxa" w:w="2577"/>
            <w:tcMar>
              <w:top w:w="80" w:type="dxa"/>
              <w:start w:w="90" w:type="dxa"/>
              <w:bottom w:w="80" w:type="dxa"/>
              <w:end w:w="90" w:type="dxa"/>
            </w:tcMar>
            <w:vAlign w:val="top"/>
          </w:tcPr>
          <w:p>
            <w:r>
              <w:rPr>
                <w:rFonts w:ascii="Inter" w:hAnsi="Inter"/>
                <w:b w:val="0"/>
                <w:i w:val="0"/>
                <w:color w:val="0D0F12"/>
                <w:sz w:val="15"/>
              </w:rPr>
              <w:t>E2E automatizado de Docs + Flow + tercero + partner.</w:t>
            </w:r>
          </w:p>
        </w:tc>
        <w:tc>
          <w:tcPr>
            <w:tcW w:type="dxa" w:w="2577"/>
            <w:tcMar>
              <w:top w:w="80" w:type="dxa"/>
              <w:start w:w="90" w:type="dxa"/>
              <w:bottom w:w="80" w:type="dxa"/>
              <w:end w:w="90" w:type="dxa"/>
            </w:tcMar>
            <w:vAlign w:val="top"/>
          </w:tcPr>
          <w:p>
            <w:r>
              <w:rPr>
                <w:rFonts w:ascii="Inter" w:hAnsi="Inter"/>
                <w:b w:val="0"/>
                <w:i w:val="0"/>
                <w:color w:val="0D0F12"/>
                <w:sz w:val="15"/>
              </w:rPr>
              <w:t>P0</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Datos reales</w:t>
            </w:r>
          </w:p>
        </w:tc>
        <w:tc>
          <w:tcPr>
            <w:tcW w:type="dxa" w:w="2577"/>
            <w:tcMar>
              <w:top w:w="80" w:type="dxa"/>
              <w:start w:w="90" w:type="dxa"/>
              <w:bottom w:w="80" w:type="dxa"/>
              <w:end w:w="90" w:type="dxa"/>
            </w:tcMar>
            <w:vAlign w:val="top"/>
            <w:shd w:fill="FAFAFB"/>
          </w:tcPr>
          <w:p>
            <w:r>
              <w:rPr>
                <w:rFonts w:ascii="Inter" w:hAnsi="Inter"/>
                <w:b w:val="0"/>
                <w:i w:val="0"/>
                <w:color w:val="0D0F12"/>
                <w:sz w:val="15"/>
              </w:rPr>
              <w:t>Sólo dataset interno.</w:t>
            </w:r>
          </w:p>
        </w:tc>
        <w:tc>
          <w:tcPr>
            <w:tcW w:type="dxa" w:w="2577"/>
            <w:tcMar>
              <w:top w:w="80" w:type="dxa"/>
              <w:start w:w="90" w:type="dxa"/>
              <w:bottom w:w="80" w:type="dxa"/>
              <w:end w:w="90" w:type="dxa"/>
            </w:tcMar>
            <w:vAlign w:val="top"/>
            <w:shd w:fill="FAFAFB"/>
          </w:tcPr>
          <w:p>
            <w:r>
              <w:rPr>
                <w:rFonts w:ascii="Inter" w:hAnsi="Inter"/>
                <w:b w:val="0"/>
                <w:i w:val="0"/>
                <w:color w:val="0D0F12"/>
                <w:sz w:val="15"/>
              </w:rPr>
              <w:t>Dataset piloto real por vertical y variantes documentales.</w:t>
            </w:r>
          </w:p>
        </w:tc>
        <w:tc>
          <w:tcPr>
            <w:tcW w:type="dxa" w:w="2577"/>
            <w:tcMar>
              <w:top w:w="80" w:type="dxa"/>
              <w:start w:w="90" w:type="dxa"/>
              <w:bottom w:w="80" w:type="dxa"/>
              <w:end w:w="90" w:type="dxa"/>
            </w:tcMar>
            <w:vAlign w:val="top"/>
            <w:shd w:fill="FAFAFB"/>
          </w:tcPr>
          <w:p>
            <w:r>
              <w:rPr>
                <w:rFonts w:ascii="Inter" w:hAnsi="Inter"/>
                <w:b w:val="0"/>
                <w:i w:val="0"/>
                <w:color w:val="0D0F12"/>
                <w:sz w:val="15"/>
              </w:rPr>
              <w:t>P0</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Carga/performance</w:t>
            </w:r>
          </w:p>
        </w:tc>
        <w:tc>
          <w:tcPr>
            <w:tcW w:type="dxa" w:w="2577"/>
            <w:tcMar>
              <w:top w:w="80" w:type="dxa"/>
              <w:start w:w="90" w:type="dxa"/>
              <w:bottom w:w="80" w:type="dxa"/>
              <w:end w:w="90" w:type="dxa"/>
            </w:tcMar>
            <w:vAlign w:val="top"/>
          </w:tcPr>
          <w:p>
            <w:r>
              <w:rPr>
                <w:rFonts w:ascii="Inter" w:hAnsi="Inter"/>
                <w:b w:val="0"/>
                <w:i w:val="0"/>
                <w:color w:val="0D0F12"/>
                <w:sz w:val="15"/>
              </w:rPr>
              <w:t>Sin prueba de volumen real.</w:t>
            </w:r>
          </w:p>
        </w:tc>
        <w:tc>
          <w:tcPr>
            <w:tcW w:type="dxa" w:w="2577"/>
            <w:tcMar>
              <w:top w:w="80" w:type="dxa"/>
              <w:start w:w="90" w:type="dxa"/>
              <w:bottom w:w="80" w:type="dxa"/>
              <w:end w:w="90" w:type="dxa"/>
            </w:tcMar>
            <w:vAlign w:val="top"/>
          </w:tcPr>
          <w:p>
            <w:r>
              <w:rPr>
                <w:rFonts w:ascii="Inter" w:hAnsi="Inter"/>
                <w:b w:val="0"/>
                <w:i w:val="0"/>
                <w:color w:val="0D0F12"/>
                <w:sz w:val="15"/>
              </w:rPr>
              <w:t>Baseline p95, throughput, colas, costo/doc y concurrencia.</w:t>
            </w:r>
          </w:p>
        </w:tc>
        <w:tc>
          <w:tcPr>
            <w:tcW w:type="dxa" w:w="2577"/>
            <w:tcMar>
              <w:top w:w="80" w:type="dxa"/>
              <w:start w:w="90" w:type="dxa"/>
              <w:bottom w:w="80" w:type="dxa"/>
              <w:end w:w="90" w:type="dxa"/>
            </w:tcMar>
            <w:vAlign w:val="top"/>
          </w:tcPr>
          <w:p>
            <w:r>
              <w:rPr>
                <w:rFonts w:ascii="Inter" w:hAnsi="Inter"/>
                <w:b w:val="0"/>
                <w:i w:val="0"/>
                <w:color w:val="0D0F12"/>
                <w:sz w:val="15"/>
              </w:rPr>
              <w:t>P0 antes de producción</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Operación producción</w:t>
            </w:r>
          </w:p>
        </w:tc>
        <w:tc>
          <w:tcPr>
            <w:tcW w:type="dxa" w:w="2577"/>
            <w:tcMar>
              <w:top w:w="80" w:type="dxa"/>
              <w:start w:w="90" w:type="dxa"/>
              <w:bottom w:w="80" w:type="dxa"/>
              <w:end w:w="90" w:type="dxa"/>
            </w:tcMar>
            <w:vAlign w:val="top"/>
            <w:shd w:fill="FAFAFB"/>
          </w:tcPr>
          <w:p>
            <w:r>
              <w:rPr>
                <w:rFonts w:ascii="Inter" w:hAnsi="Inter"/>
                <w:b w:val="0"/>
                <w:i w:val="0"/>
                <w:color w:val="0D0F12"/>
                <w:sz w:val="15"/>
              </w:rPr>
              <w:t>No explicitada en estado.</w:t>
            </w:r>
          </w:p>
        </w:tc>
        <w:tc>
          <w:tcPr>
            <w:tcW w:type="dxa" w:w="2577"/>
            <w:tcMar>
              <w:top w:w="80" w:type="dxa"/>
              <w:start w:w="90" w:type="dxa"/>
              <w:bottom w:w="80" w:type="dxa"/>
              <w:end w:w="90" w:type="dxa"/>
            </w:tcMar>
            <w:vAlign w:val="top"/>
            <w:shd w:fill="FAFAFB"/>
          </w:tcPr>
          <w:p>
            <w:r>
              <w:rPr>
                <w:rFonts w:ascii="Inter" w:hAnsi="Inter"/>
                <w:b w:val="0"/>
                <w:i w:val="0"/>
                <w:color w:val="0D0F12"/>
                <w:sz w:val="15"/>
              </w:rPr>
              <w:t>Backup/restore probado, observabilidad, alertas, runbooks y secret rotation.</w:t>
            </w:r>
          </w:p>
        </w:tc>
        <w:tc>
          <w:tcPr>
            <w:tcW w:type="dxa" w:w="2577"/>
            <w:tcMar>
              <w:top w:w="80" w:type="dxa"/>
              <w:start w:w="90" w:type="dxa"/>
              <w:bottom w:w="80" w:type="dxa"/>
              <w:end w:w="90" w:type="dxa"/>
            </w:tcMar>
            <w:vAlign w:val="top"/>
            <w:shd w:fill="FAFAFB"/>
          </w:tcPr>
          <w:p>
            <w:r>
              <w:rPr>
                <w:rFonts w:ascii="Inter" w:hAnsi="Inter"/>
                <w:b w:val="0"/>
                <w:i w:val="0"/>
                <w:color w:val="0D0F12"/>
                <w:sz w:val="15"/>
              </w:rPr>
              <w:t>P0</w:t>
            </w:r>
          </w:p>
        </w:tc>
      </w:tr>
    </w:tbl>
    <w:p/>
    <w:p>
      <w:pPr>
        <w:pStyle w:val="Heading1"/>
      </w:pPr>
      <w:r>
        <w:t>5. Definición normativa del MVP0 Comercial</w:t>
      </w:r>
    </w:p>
    <w:p>
      <w:r>
        <w:rPr>
          <w:rFonts w:ascii="Inter" w:hAnsi="Inter"/>
          <w:b w:val="0"/>
          <w:i w:val="0"/>
          <w:color w:val="0D0F12"/>
          <w:sz w:val="18"/>
        </w:rPr>
        <w:t>El MVP0 Comercial no debe definirse por cantidad de pantallas sino por tres capacidades vendibles completas: entender documentos, ejecutar un proceso documental y permitir que la empresa configure ese proceso sobre una biblioteca reutilizable.</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5155"/>
        <w:gridCol w:w="5155"/>
      </w:tblGrid>
      <w:tr>
        <w:trPr>
          <w:tblHeader w:val="true"/>
        </w:trPr>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Módulo</w:t>
            </w:r>
          </w:p>
        </w:tc>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Mínimo comercial</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A. Docs Core</w:t>
            </w:r>
          </w:p>
        </w:tc>
        <w:tc>
          <w:tcPr>
            <w:tcW w:type="dxa" w:w="5155"/>
            <w:tcMar>
              <w:top w:w="80" w:type="dxa"/>
              <w:start w:w="90" w:type="dxa"/>
              <w:bottom w:w="80" w:type="dxa"/>
              <w:end w:w="90" w:type="dxa"/>
            </w:tcMar>
            <w:vAlign w:val="top"/>
          </w:tcPr>
          <w:p>
            <w:r>
              <w:rPr>
                <w:rFonts w:ascii="Inter" w:hAnsi="Inter"/>
                <w:b w:val="0"/>
                <w:i w:val="0"/>
                <w:color w:val="0D0F12"/>
                <w:sz w:val="16"/>
              </w:rPr>
              <w:t>Captura, clasificación, extracción, validación, revisión, aprendizaje controlado, expediente, API/webhooks, auditoría.</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B. Workflow Core</w:t>
            </w:r>
          </w:p>
        </w:tc>
        <w:tc>
          <w:tcPr>
            <w:tcW w:type="dxa" w:w="5155"/>
            <w:tcMar>
              <w:top w:w="80" w:type="dxa"/>
              <w:start w:w="90" w:type="dxa"/>
              <w:bottom w:w="80" w:type="dxa"/>
              <w:end w:w="90" w:type="dxa"/>
            </w:tcMar>
            <w:vAlign w:val="top"/>
            <w:shd w:fill="FAFAFB"/>
          </w:tcPr>
          <w:p>
            <w:r>
              <w:rPr>
                <w:rFonts w:ascii="Inter" w:hAnsi="Inter"/>
                <w:b w:val="0"/>
                <w:i w:val="0"/>
                <w:color w:val="0D0F12"/>
                <w:sz w:val="16"/>
              </w:rPr>
              <w:t>Inicio de instancia, pasos síncronos/asíncronos simples, responsables, SLA, tareas, aprobación/rechazo, timers y cierre.</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C. Template Studio guiado</w:t>
            </w:r>
          </w:p>
        </w:tc>
        <w:tc>
          <w:tcPr>
            <w:tcW w:type="dxa" w:w="5155"/>
            <w:tcMar>
              <w:top w:w="80" w:type="dxa"/>
              <w:start w:w="90" w:type="dxa"/>
              <w:bottom w:w="80" w:type="dxa"/>
              <w:end w:w="90" w:type="dxa"/>
            </w:tcMar>
            <w:vAlign w:val="top"/>
          </w:tcPr>
          <w:p>
            <w:r>
              <w:rPr>
                <w:rFonts w:ascii="Inter" w:hAnsi="Inter"/>
                <w:b w:val="0"/>
                <w:i w:val="0"/>
                <w:color w:val="0D0F12"/>
                <w:sz w:val="16"/>
              </w:rPr>
              <w:t>Crear desde cero o duplicar; definir pasos, documentos, roles, SLA, controles y notificaciones; test y publish versionado.</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D. Colaboración externa</w:t>
            </w:r>
          </w:p>
        </w:tc>
        <w:tc>
          <w:tcPr>
            <w:tcW w:type="dxa" w:w="5155"/>
            <w:tcMar>
              <w:top w:w="80" w:type="dxa"/>
              <w:start w:w="90" w:type="dxa"/>
              <w:bottom w:w="80" w:type="dxa"/>
              <w:end w:w="90" w:type="dxa"/>
            </w:tcMar>
            <w:vAlign w:val="top"/>
            <w:shd w:fill="FAFAFB"/>
          </w:tcPr>
          <w:p>
            <w:r>
              <w:rPr>
                <w:rFonts w:ascii="Inter" w:hAnsi="Inter"/>
                <w:b w:val="0"/>
                <w:i w:val="0"/>
                <w:color w:val="0D0F12"/>
                <w:sz w:val="16"/>
              </w:rPr>
              <w:t>Usuarios terceros con cuenta limitada y enlaces seguros de acción para cargas/aprobaciones puntuales.</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E. IA Supervisora v0</w:t>
            </w:r>
          </w:p>
        </w:tc>
        <w:tc>
          <w:tcPr>
            <w:tcW w:type="dxa" w:w="5155"/>
            <w:tcMar>
              <w:top w:w="80" w:type="dxa"/>
              <w:start w:w="90" w:type="dxa"/>
              <w:bottom w:w="80" w:type="dxa"/>
              <w:end w:w="90" w:type="dxa"/>
            </w:tcMar>
            <w:vAlign w:val="top"/>
          </w:tcPr>
          <w:p>
            <w:r>
              <w:rPr>
                <w:rFonts w:ascii="Inter" w:hAnsi="Inter"/>
                <w:b w:val="0"/>
                <w:i w:val="0"/>
                <w:color w:val="0D0F12"/>
                <w:sz w:val="16"/>
              </w:rPr>
              <w:t>Supervisión configurada por la plantilla: completitud, confidence, consistencia entre documentos, vencimientos y políticas de bloqueo/escalación.</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F. Biblioteca COMEX/Follow</w:t>
            </w:r>
          </w:p>
        </w:tc>
        <w:tc>
          <w:tcPr>
            <w:tcW w:type="dxa" w:w="5155"/>
            <w:tcMar>
              <w:top w:w="80" w:type="dxa"/>
              <w:start w:w="90" w:type="dxa"/>
              <w:bottom w:w="80" w:type="dxa"/>
              <w:end w:w="90" w:type="dxa"/>
            </w:tcMar>
            <w:vAlign w:val="top"/>
            <w:shd w:fill="FAFAFB"/>
          </w:tcPr>
          <w:p>
            <w:r>
              <w:rPr>
                <w:rFonts w:ascii="Inter" w:hAnsi="Inter"/>
                <w:b w:val="0"/>
                <w:i w:val="0"/>
                <w:color w:val="0D0F12"/>
                <w:sz w:val="16"/>
              </w:rPr>
              <w:t>Plantillas base import/export por modalidad + multimodal + overlays de carga + recomendación desde contexto Follow.</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G. Partner Foundation</w:t>
            </w:r>
          </w:p>
        </w:tc>
        <w:tc>
          <w:tcPr>
            <w:tcW w:type="dxa" w:w="5155"/>
            <w:tcMar>
              <w:top w:w="80" w:type="dxa"/>
              <w:start w:w="90" w:type="dxa"/>
              <w:bottom w:w="80" w:type="dxa"/>
              <w:end w:w="90" w:type="dxa"/>
            </w:tcMar>
            <w:vAlign w:val="top"/>
          </w:tcPr>
          <w:p>
            <w:r>
              <w:rPr>
                <w:rFonts w:ascii="Inter" w:hAnsi="Inter"/>
                <w:b w:val="0"/>
                <w:i w:val="0"/>
                <w:color w:val="0D0F12"/>
                <w:sz w:val="16"/>
              </w:rPr>
              <w:t>Partners/consultores con scopes delegados, autoría, propiedad, versionado, provenance, fork e instalación de templates.</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H. Gobernanza &amp; KPI</w:t>
            </w:r>
          </w:p>
        </w:tc>
        <w:tc>
          <w:tcPr>
            <w:tcW w:type="dxa" w:w="5155"/>
            <w:tcMar>
              <w:top w:w="80" w:type="dxa"/>
              <w:start w:w="90" w:type="dxa"/>
              <w:bottom w:w="80" w:type="dxa"/>
              <w:end w:w="90" w:type="dxa"/>
            </w:tcMar>
            <w:vAlign w:val="top"/>
            <w:shd w:fill="FAFAFB"/>
          </w:tcPr>
          <w:p>
            <w:r>
              <w:rPr>
                <w:rFonts w:ascii="Inter" w:hAnsi="Inter"/>
                <w:b w:val="0"/>
                <w:i w:val="0"/>
                <w:color w:val="0D0F12"/>
                <w:sz w:val="16"/>
              </w:rPr>
              <w:t>Lineage documento/IA/workflow, dashboard de procesos, excepciones, SLA, storage, costos y audit exportable.</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I. Integración</w:t>
            </w:r>
          </w:p>
        </w:tc>
        <w:tc>
          <w:tcPr>
            <w:tcW w:type="dxa" w:w="5155"/>
            <w:tcMar>
              <w:top w:w="80" w:type="dxa"/>
              <w:start w:w="90" w:type="dxa"/>
              <w:bottom w:w="80" w:type="dxa"/>
              <w:end w:w="90" w:type="dxa"/>
            </w:tcMar>
            <w:vAlign w:val="top"/>
          </w:tcPr>
          <w:p>
            <w:r>
              <w:rPr>
                <w:rFonts w:ascii="Inter" w:hAnsi="Inter"/>
                <w:b w:val="0"/>
                <w:i w:val="0"/>
                <w:color w:val="0D0F12"/>
                <w:sz w:val="16"/>
              </w:rPr>
              <w:t>API, webhooks, SSO, Follow Connector; email de proceso recomendado para COMEX.</w:t>
            </w:r>
          </w:p>
        </w:tc>
      </w:tr>
    </w:tbl>
    <w:p/>
    <w:p>
      <w:pPr>
        <w:jc w:val="center"/>
      </w:pPr>
      <w:r>
        <w:drawing>
          <wp:inline xmlns:a="http://schemas.openxmlformats.org/drawingml/2006/main" xmlns:pic="http://schemas.openxmlformats.org/drawingml/2006/picture">
            <wp:extent cx="6217920" cy="4083311"/>
            <wp:docPr id="3" name="Picture 3"/>
            <wp:cNvGraphicFramePr>
              <a:graphicFrameLocks noChangeAspect="1"/>
            </wp:cNvGraphicFramePr>
            <a:graphic>
              <a:graphicData uri="http://schemas.openxmlformats.org/drawingml/2006/picture">
                <pic:pic>
                  <pic:nvPicPr>
                    <pic:cNvPr id="0" name="02_mvp0_architecture.png"/>
                    <pic:cNvPicPr/>
                  </pic:nvPicPr>
                  <pic:blipFill>
                    <a:blip r:embed="rId13"/>
                    <a:stretch>
                      <a:fillRect/>
                    </a:stretch>
                  </pic:blipFill>
                  <pic:spPr>
                    <a:xfrm>
                      <a:off x="0" y="0"/>
                      <a:ext cx="6217920" cy="4083311"/>
                    </a:xfrm>
                    <a:prstGeom prst="rect"/>
                  </pic:spPr>
                </pic:pic>
              </a:graphicData>
            </a:graphic>
          </wp:inline>
        </w:drawing>
      </w:r>
    </w:p>
    <w:p>
      <w:pPr>
        <w:jc w:val="center"/>
      </w:pPr>
      <w:r>
        <w:rPr>
          <w:rFonts w:ascii="Inter" w:hAnsi="Inter"/>
          <w:b w:val="0"/>
          <w:i/>
          <w:color w:val="6B7280"/>
          <w:sz w:val="15"/>
        </w:rPr>
        <w:t>Figura 2 — Arquitectura objetivo del MVP0 Comercial.</w:t>
      </w:r>
    </w:p>
    <w:p>
      <w:pPr>
        <w:pStyle w:val="Heading1"/>
      </w:pPr>
      <w:r>
        <w:t>6. Workflow Core: alcance mínimo sin esperar el Canvas completo</w:t>
      </w:r>
    </w:p>
    <w:p>
      <w:r>
        <w:rPr>
          <w:rFonts w:ascii="Inter" w:hAnsi="Inter"/>
          <w:b w:val="0"/>
          <w:i w:val="0"/>
          <w:color w:val="0D0F12"/>
          <w:sz w:val="18"/>
        </w:rPr>
        <w:t>La Base Workflow histórica ya define el patrón necesario: procesos documentales con responsables, vencimientos, documentos/formularios, notificaciones, comentarios, terceros y procedimientos. La estrategia correcta es recuperar esa semántica y modernizarla, no construir un BPM genérico desde cero. [BASE-08]</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5155"/>
        <w:gridCol w:w="5155"/>
      </w:tblGrid>
      <w:tr>
        <w:trPr>
          <w:tblHeader w:val="true"/>
        </w:trPr>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Nodo/acción</w:t>
            </w:r>
          </w:p>
        </w:tc>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Definición MVP0</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START / END</w:t>
            </w:r>
          </w:p>
        </w:tc>
        <w:tc>
          <w:tcPr>
            <w:tcW w:type="dxa" w:w="5155"/>
            <w:tcMar>
              <w:top w:w="80" w:type="dxa"/>
              <w:start w:w="90" w:type="dxa"/>
              <w:bottom w:w="80" w:type="dxa"/>
              <w:end w:w="90" w:type="dxa"/>
            </w:tcMar>
            <w:vAlign w:val="top"/>
          </w:tcPr>
          <w:p>
            <w:r>
              <w:rPr>
                <w:rFonts w:ascii="Inter" w:hAnsi="Inter"/>
                <w:b w:val="0"/>
                <w:i w:val="0"/>
                <w:color w:val="0D0F12"/>
                <w:sz w:val="16"/>
              </w:rPr>
              <w:t>Inicio/cierre de instancia, manual/API/evento.</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DOCUMENT REQUEST</w:t>
            </w:r>
          </w:p>
        </w:tc>
        <w:tc>
          <w:tcPr>
            <w:tcW w:type="dxa" w:w="5155"/>
            <w:tcMar>
              <w:top w:w="80" w:type="dxa"/>
              <w:start w:w="90" w:type="dxa"/>
              <w:bottom w:w="80" w:type="dxa"/>
              <w:end w:w="90" w:type="dxa"/>
            </w:tcMar>
            <w:vAlign w:val="top"/>
            <w:shd w:fill="FAFAFB"/>
          </w:tcPr>
          <w:p>
            <w:r>
              <w:rPr>
                <w:rFonts w:ascii="Inter" w:hAnsi="Inter"/>
                <w:b w:val="0"/>
                <w:i w:val="0"/>
                <w:color w:val="0D0F12"/>
                <w:sz w:val="16"/>
              </w:rPr>
              <w:t>Solicitar documento; asociar DocumentType/Schema; owner y vencimiento.</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FORM</w:t>
            </w:r>
          </w:p>
        </w:tc>
        <w:tc>
          <w:tcPr>
            <w:tcW w:type="dxa" w:w="5155"/>
            <w:tcMar>
              <w:top w:w="80" w:type="dxa"/>
              <w:start w:w="90" w:type="dxa"/>
              <w:bottom w:w="80" w:type="dxa"/>
              <w:end w:w="90" w:type="dxa"/>
            </w:tcMar>
            <w:vAlign w:val="top"/>
          </w:tcPr>
          <w:p>
            <w:r>
              <w:rPr>
                <w:rFonts w:ascii="Inter" w:hAnsi="Inter"/>
                <w:b w:val="0"/>
                <w:i w:val="0"/>
                <w:color w:val="0D0F12"/>
                <w:sz w:val="16"/>
              </w:rPr>
              <w:t>Formulario versionado; campos obligatorios; adjuntos.</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AI VALIDATE</w:t>
            </w:r>
          </w:p>
        </w:tc>
        <w:tc>
          <w:tcPr>
            <w:tcW w:type="dxa" w:w="5155"/>
            <w:tcMar>
              <w:top w:w="80" w:type="dxa"/>
              <w:start w:w="90" w:type="dxa"/>
              <w:bottom w:w="80" w:type="dxa"/>
              <w:end w:w="90" w:type="dxa"/>
            </w:tcMar>
            <w:vAlign w:val="top"/>
            <w:shd w:fill="FAFAFB"/>
          </w:tcPr>
          <w:p>
            <w:r>
              <w:rPr>
                <w:rFonts w:ascii="Inter" w:hAnsi="Inter"/>
                <w:b w:val="0"/>
                <w:i w:val="0"/>
                <w:color w:val="0D0F12"/>
                <w:sz w:val="16"/>
              </w:rPr>
              <w:t>Invocar Docs Core; aplicar schema/threshold/rules.</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HUMAN REVIEW</w:t>
            </w:r>
          </w:p>
        </w:tc>
        <w:tc>
          <w:tcPr>
            <w:tcW w:type="dxa" w:w="5155"/>
            <w:tcMar>
              <w:top w:w="80" w:type="dxa"/>
              <w:start w:w="90" w:type="dxa"/>
              <w:bottom w:w="80" w:type="dxa"/>
              <w:end w:w="90" w:type="dxa"/>
            </w:tcMar>
            <w:vAlign w:val="top"/>
          </w:tcPr>
          <w:p>
            <w:r>
              <w:rPr>
                <w:rFonts w:ascii="Inter" w:hAnsi="Inter"/>
                <w:b w:val="0"/>
                <w:i w:val="0"/>
                <w:color w:val="0D0F12"/>
                <w:sz w:val="16"/>
              </w:rPr>
              <w:t>Revisar/corregir/aprobar/rechazar con motivo.</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DECISION</w:t>
            </w:r>
          </w:p>
        </w:tc>
        <w:tc>
          <w:tcPr>
            <w:tcW w:type="dxa" w:w="5155"/>
            <w:tcMar>
              <w:top w:w="80" w:type="dxa"/>
              <w:start w:w="90" w:type="dxa"/>
              <w:bottom w:w="80" w:type="dxa"/>
              <w:end w:w="90" w:type="dxa"/>
            </w:tcMar>
            <w:vAlign w:val="top"/>
            <w:shd w:fill="FAFAFB"/>
          </w:tcPr>
          <w:p>
            <w:r>
              <w:rPr>
                <w:rFonts w:ascii="Inter" w:hAnsi="Inter"/>
                <w:b w:val="0"/>
                <w:i w:val="0"/>
                <w:color w:val="0D0F12"/>
                <w:sz w:val="16"/>
              </w:rPr>
              <w:t>Condición determinística sobre variables/facts/estado.</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EXTERNAL TASK</w:t>
            </w:r>
          </w:p>
        </w:tc>
        <w:tc>
          <w:tcPr>
            <w:tcW w:type="dxa" w:w="5155"/>
            <w:tcMar>
              <w:top w:w="80" w:type="dxa"/>
              <w:start w:w="90" w:type="dxa"/>
              <w:bottom w:w="80" w:type="dxa"/>
              <w:end w:w="90" w:type="dxa"/>
            </w:tcMar>
            <w:vAlign w:val="top"/>
          </w:tcPr>
          <w:p>
            <w:r>
              <w:rPr>
                <w:rFonts w:ascii="Inter" w:hAnsi="Inter"/>
                <w:b w:val="0"/>
                <w:i w:val="0"/>
                <w:color w:val="0D0F12"/>
                <w:sz w:val="16"/>
              </w:rPr>
              <w:t>Tarea a tercero con cuenta o Secure Action Link.</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NOTIFICATION</w:t>
            </w:r>
          </w:p>
        </w:tc>
        <w:tc>
          <w:tcPr>
            <w:tcW w:type="dxa" w:w="5155"/>
            <w:tcMar>
              <w:top w:w="80" w:type="dxa"/>
              <w:start w:w="90" w:type="dxa"/>
              <w:bottom w:w="80" w:type="dxa"/>
              <w:end w:w="90" w:type="dxa"/>
            </w:tcMar>
            <w:vAlign w:val="top"/>
            <w:shd w:fill="FAFAFB"/>
          </w:tcPr>
          <w:p>
            <w:r>
              <w:rPr>
                <w:rFonts w:ascii="Inter" w:hAnsi="Inter"/>
                <w:b w:val="0"/>
                <w:i w:val="0"/>
                <w:color w:val="0D0F12"/>
                <w:sz w:val="16"/>
              </w:rPr>
              <w:t>Email/web notification; WhatsApp por adapter futuro/opcional.</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TIMER / SLA</w:t>
            </w:r>
          </w:p>
        </w:tc>
        <w:tc>
          <w:tcPr>
            <w:tcW w:type="dxa" w:w="5155"/>
            <w:tcMar>
              <w:top w:w="80" w:type="dxa"/>
              <w:start w:w="90" w:type="dxa"/>
              <w:bottom w:w="80" w:type="dxa"/>
              <w:end w:w="90" w:type="dxa"/>
            </w:tcMar>
            <w:vAlign w:val="top"/>
          </w:tcPr>
          <w:p>
            <w:r>
              <w:rPr>
                <w:rFonts w:ascii="Inter" w:hAnsi="Inter"/>
                <w:b w:val="0"/>
                <w:i w:val="0"/>
                <w:color w:val="0D0F12"/>
                <w:sz w:val="16"/>
              </w:rPr>
              <w:t>Recordatorio, warning, escalation, vencimiento.</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API/WEBHOOK ACTION</w:t>
            </w:r>
          </w:p>
        </w:tc>
        <w:tc>
          <w:tcPr>
            <w:tcW w:type="dxa" w:w="5155"/>
            <w:tcMar>
              <w:top w:w="80" w:type="dxa"/>
              <w:start w:w="90" w:type="dxa"/>
              <w:bottom w:w="80" w:type="dxa"/>
              <w:end w:w="90" w:type="dxa"/>
            </w:tcMar>
            <w:vAlign w:val="top"/>
            <w:shd w:fill="FAFAFB"/>
          </w:tcPr>
          <w:p>
            <w:r>
              <w:rPr>
                <w:rFonts w:ascii="Inter" w:hAnsi="Inter"/>
                <w:b w:val="0"/>
                <w:i w:val="0"/>
                <w:color w:val="0D0F12"/>
                <w:sz w:val="16"/>
              </w:rPr>
              <w:t>Enviar datos validados o recibir callback de sistema externo.</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SUBPROCESS</w:t>
            </w:r>
          </w:p>
        </w:tc>
        <w:tc>
          <w:tcPr>
            <w:tcW w:type="dxa" w:w="5155"/>
            <w:tcMar>
              <w:top w:w="80" w:type="dxa"/>
              <w:start w:w="90" w:type="dxa"/>
              <w:bottom w:w="80" w:type="dxa"/>
              <w:end w:w="90" w:type="dxa"/>
            </w:tcMar>
            <w:vAlign w:val="top"/>
          </w:tcPr>
          <w:p>
            <w:r>
              <w:rPr>
                <w:rFonts w:ascii="Inter" w:hAnsi="Inter"/>
                <w:b w:val="0"/>
                <w:i w:val="0"/>
                <w:color w:val="0D0F12"/>
                <w:sz w:val="16"/>
              </w:rPr>
              <w:t>Invocar subproceso publicado; limitar a catálogo probado en MVP0.</w:t>
            </w:r>
          </w:p>
        </w:tc>
      </w:tr>
    </w:tbl>
    <w:p/>
    <w:p>
      <w:r>
        <w:rPr>
          <w:rFonts w:ascii="Inter" w:hAnsi="Inter"/>
          <w:b w:val="0"/>
          <w:i w:val="0"/>
          <w:color w:val="0D0F12"/>
          <w:sz w:val="18"/>
        </w:rPr>
        <w:t>El editor MVP0 debe ser “Modo Guiado”: lista/timeline con panel lateral de configuración y vista previa del proceso. El Canvas drag-and-drop avanzado queda en MVP1. Ambos deben usar el mismo JSON/schema de definición para no migrar plantillas más adelante.</w:t>
      </w:r>
    </w:p>
    <w:p>
      <w:pPr>
        <w:pStyle w:val="Heading1"/>
      </w:pPr>
      <w:r>
        <w:t>7. IA Supervisora v0: qué debe hacer y qué no</w:t>
      </w:r>
    </w:p>
    <w:p>
      <w:r>
        <w:rPr>
          <w:rFonts w:ascii="Inter" w:hAnsi="Inter"/>
          <w:b w:val="0"/>
          <w:i w:val="0"/>
          <w:color w:val="0D0F12"/>
          <w:sz w:val="18"/>
        </w:rPr>
        <w:t>La IA Supervisora del MVP0 debe ser un supervisor acotado por la definición del proceso, no un agente autónomo que modifique reglas o ejecute acciones abiertas. Esto permite vender supervisión inteligente sin introducir riesgo ni complejidad de Sentinel/Copilot completos.</w:t>
      </w:r>
    </w:p>
    <w:p>
      <w:pPr>
        <w:jc w:val="center"/>
      </w:pPr>
      <w:r>
        <w:drawing>
          <wp:inline xmlns:a="http://schemas.openxmlformats.org/drawingml/2006/main" xmlns:pic="http://schemas.openxmlformats.org/drawingml/2006/picture">
            <wp:extent cx="6217920" cy="561998"/>
            <wp:docPr id="4" name="Picture 4"/>
            <wp:cNvGraphicFramePr>
              <a:graphicFrameLocks noChangeAspect="1"/>
            </wp:cNvGraphicFramePr>
            <a:graphic>
              <a:graphicData uri="http://schemas.openxmlformats.org/drawingml/2006/picture">
                <pic:pic>
                  <pic:nvPicPr>
                    <pic:cNvPr id="0" name="03_supervisor_v0.png"/>
                    <pic:cNvPicPr/>
                  </pic:nvPicPr>
                  <pic:blipFill>
                    <a:blip r:embed="rId14"/>
                    <a:stretch>
                      <a:fillRect/>
                    </a:stretch>
                  </pic:blipFill>
                  <pic:spPr>
                    <a:xfrm>
                      <a:off x="0" y="0"/>
                      <a:ext cx="6217920" cy="561998"/>
                    </a:xfrm>
                    <a:prstGeom prst="rect"/>
                  </pic:spPr>
                </pic:pic>
              </a:graphicData>
            </a:graphic>
          </wp:inline>
        </w:drawing>
      </w:r>
    </w:p>
    <w:p>
      <w:pPr>
        <w:jc w:val="center"/>
      </w:pPr>
      <w:r>
        <w:rPr>
          <w:rFonts w:ascii="Inter" w:hAnsi="Inter"/>
          <w:b w:val="0"/>
          <w:i/>
          <w:color w:val="6B7280"/>
          <w:sz w:val="15"/>
        </w:rPr>
        <w:t>Figura 3 — Ciclo de supervisión configurable del MVP0.</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3437"/>
        <w:gridCol w:w="3437"/>
        <w:gridCol w:w="3437"/>
      </w:tblGrid>
      <w:tr>
        <w:trPr>
          <w:tblHeader w:val="true"/>
        </w:trPr>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Control</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Pregunta</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6"/>
              </w:rPr>
              <w:t>Acción configurable</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Completitud</w:t>
            </w:r>
          </w:p>
        </w:tc>
        <w:tc>
          <w:tcPr>
            <w:tcW w:type="dxa" w:w="3437"/>
            <w:tcMar>
              <w:top w:w="80" w:type="dxa"/>
              <w:start w:w="90" w:type="dxa"/>
              <w:bottom w:w="80" w:type="dxa"/>
              <w:end w:w="90" w:type="dxa"/>
            </w:tcMar>
            <w:vAlign w:val="top"/>
          </w:tcPr>
          <w:p>
            <w:r>
              <w:rPr>
                <w:rFonts w:ascii="Inter" w:hAnsi="Inter"/>
                <w:b w:val="0"/>
                <w:i w:val="0"/>
                <w:color w:val="0D0F12"/>
                <w:sz w:val="16"/>
              </w:rPr>
              <w:t>¿Falta un documento/campo requerido para este paso?</w:t>
            </w:r>
          </w:p>
        </w:tc>
        <w:tc>
          <w:tcPr>
            <w:tcW w:type="dxa" w:w="3437"/>
            <w:tcMar>
              <w:top w:w="80" w:type="dxa"/>
              <w:start w:w="90" w:type="dxa"/>
              <w:bottom w:w="80" w:type="dxa"/>
              <w:end w:w="90" w:type="dxa"/>
            </w:tcMar>
            <w:vAlign w:val="top"/>
          </w:tcPr>
          <w:p>
            <w:r>
              <w:rPr>
                <w:rFonts w:ascii="Inter" w:hAnsi="Inter"/>
                <w:b w:val="0"/>
                <w:i w:val="0"/>
                <w:color w:val="0D0F12"/>
                <w:sz w:val="16"/>
              </w:rPr>
              <w:t>Solicitar / advertir / bloquear.</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Calidad IA</w:t>
            </w:r>
          </w:p>
        </w:tc>
        <w:tc>
          <w:tcPr>
            <w:tcW w:type="dxa" w:w="3437"/>
            <w:tcMar>
              <w:top w:w="80" w:type="dxa"/>
              <w:start w:w="90" w:type="dxa"/>
              <w:bottom w:w="80" w:type="dxa"/>
              <w:end w:w="90" w:type="dxa"/>
            </w:tcMar>
            <w:vAlign w:val="top"/>
            <w:shd w:fill="FAFAFB"/>
          </w:tcPr>
          <w:p>
            <w:r>
              <w:rPr>
                <w:rFonts w:ascii="Inter" w:hAnsi="Inter"/>
                <w:b w:val="0"/>
                <w:i w:val="0"/>
                <w:color w:val="0D0F12"/>
                <w:sz w:val="16"/>
              </w:rPr>
              <w:t>¿Confidence o legibilidad están por debajo del umbral?</w:t>
            </w:r>
          </w:p>
        </w:tc>
        <w:tc>
          <w:tcPr>
            <w:tcW w:type="dxa" w:w="3437"/>
            <w:tcMar>
              <w:top w:w="80" w:type="dxa"/>
              <w:start w:w="90" w:type="dxa"/>
              <w:bottom w:w="80" w:type="dxa"/>
              <w:end w:w="90" w:type="dxa"/>
            </w:tcMar>
            <w:vAlign w:val="top"/>
            <w:shd w:fill="FAFAFB"/>
          </w:tcPr>
          <w:p>
            <w:r>
              <w:rPr>
                <w:rFonts w:ascii="Inter" w:hAnsi="Inter"/>
                <w:b w:val="0"/>
                <w:i w:val="0"/>
                <w:color w:val="0D0F12"/>
                <w:sz w:val="16"/>
              </w:rPr>
              <w:t>Revisión humana / nueva carga.</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Cross-document</w:t>
            </w:r>
          </w:p>
        </w:tc>
        <w:tc>
          <w:tcPr>
            <w:tcW w:type="dxa" w:w="3437"/>
            <w:tcMar>
              <w:top w:w="80" w:type="dxa"/>
              <w:start w:w="90" w:type="dxa"/>
              <w:bottom w:w="80" w:type="dxa"/>
              <w:end w:w="90" w:type="dxa"/>
            </w:tcMar>
            <w:vAlign w:val="top"/>
          </w:tcPr>
          <w:p>
            <w:r>
              <w:rPr>
                <w:rFonts w:ascii="Inter" w:hAnsi="Inter"/>
                <w:b w:val="0"/>
                <w:i w:val="0"/>
                <w:color w:val="0D0F12"/>
                <w:sz w:val="16"/>
              </w:rPr>
              <w:t>¿Coinciden identificadores, ítems, cantidades, bultos, peso, moneda, consignatario, Incoterm u otros facts configurados?</w:t>
            </w:r>
          </w:p>
        </w:tc>
        <w:tc>
          <w:tcPr>
            <w:tcW w:type="dxa" w:w="3437"/>
            <w:tcMar>
              <w:top w:w="80" w:type="dxa"/>
              <w:start w:w="90" w:type="dxa"/>
              <w:bottom w:w="80" w:type="dxa"/>
              <w:end w:w="90" w:type="dxa"/>
            </w:tcMar>
            <w:vAlign w:val="top"/>
          </w:tcPr>
          <w:p>
            <w:r>
              <w:rPr>
                <w:rFonts w:ascii="Inter" w:hAnsi="Inter"/>
                <w:b w:val="0"/>
                <w:i w:val="0"/>
                <w:color w:val="0D0F12"/>
                <w:sz w:val="16"/>
              </w:rPr>
              <w:t>Review Task + severidad.</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Secuencia</w:t>
            </w:r>
          </w:p>
        </w:tc>
        <w:tc>
          <w:tcPr>
            <w:tcW w:type="dxa" w:w="3437"/>
            <w:tcMar>
              <w:top w:w="80" w:type="dxa"/>
              <w:start w:w="90" w:type="dxa"/>
              <w:bottom w:w="80" w:type="dxa"/>
              <w:end w:w="90" w:type="dxa"/>
            </w:tcMar>
            <w:vAlign w:val="top"/>
            <w:shd w:fill="FAFAFB"/>
          </w:tcPr>
          <w:p>
            <w:r>
              <w:rPr>
                <w:rFonts w:ascii="Inter" w:hAnsi="Inter"/>
                <w:b w:val="0"/>
                <w:i w:val="0"/>
                <w:color w:val="0D0F12"/>
                <w:sz w:val="16"/>
              </w:rPr>
              <w:t>¿Se intenta avanzar sin condición previa o con versión obsoleta?</w:t>
            </w:r>
          </w:p>
        </w:tc>
        <w:tc>
          <w:tcPr>
            <w:tcW w:type="dxa" w:w="3437"/>
            <w:tcMar>
              <w:top w:w="80" w:type="dxa"/>
              <w:start w:w="90" w:type="dxa"/>
              <w:bottom w:w="80" w:type="dxa"/>
              <w:end w:w="90" w:type="dxa"/>
            </w:tcMar>
            <w:vAlign w:val="top"/>
            <w:shd w:fill="FAFAFB"/>
          </w:tcPr>
          <w:p>
            <w:r>
              <w:rPr>
                <w:rFonts w:ascii="Inter" w:hAnsi="Inter"/>
                <w:b w:val="0"/>
                <w:i w:val="0"/>
                <w:color w:val="0D0F12"/>
                <w:sz w:val="16"/>
              </w:rPr>
              <w:t>Bloquear / pedir justificación.</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SLA</w:t>
            </w:r>
          </w:p>
        </w:tc>
        <w:tc>
          <w:tcPr>
            <w:tcW w:type="dxa" w:w="3437"/>
            <w:tcMar>
              <w:top w:w="80" w:type="dxa"/>
              <w:start w:w="90" w:type="dxa"/>
              <w:bottom w:w="80" w:type="dxa"/>
              <w:end w:w="90" w:type="dxa"/>
            </w:tcMar>
            <w:vAlign w:val="top"/>
          </w:tcPr>
          <w:p>
            <w:r>
              <w:rPr>
                <w:rFonts w:ascii="Inter" w:hAnsi="Inter"/>
                <w:b w:val="0"/>
                <w:i w:val="0"/>
                <w:color w:val="0D0F12"/>
                <w:sz w:val="16"/>
              </w:rPr>
              <w:t>¿Tarea/documento próximo a vencer o vencido?</w:t>
            </w:r>
          </w:p>
        </w:tc>
        <w:tc>
          <w:tcPr>
            <w:tcW w:type="dxa" w:w="3437"/>
            <w:tcMar>
              <w:top w:w="80" w:type="dxa"/>
              <w:start w:w="90" w:type="dxa"/>
              <w:bottom w:w="80" w:type="dxa"/>
              <w:end w:w="90" w:type="dxa"/>
            </w:tcMar>
            <w:vAlign w:val="top"/>
          </w:tcPr>
          <w:p>
            <w:r>
              <w:rPr>
                <w:rFonts w:ascii="Inter" w:hAnsi="Inter"/>
                <w:b w:val="0"/>
                <w:i w:val="0"/>
                <w:color w:val="0D0F12"/>
                <w:sz w:val="16"/>
              </w:rPr>
              <w:t>Recordatorio + escalación.</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6"/>
              </w:rPr>
              <w:t>Duplicados/versiones</w:t>
            </w:r>
          </w:p>
        </w:tc>
        <w:tc>
          <w:tcPr>
            <w:tcW w:type="dxa" w:w="3437"/>
            <w:tcMar>
              <w:top w:w="80" w:type="dxa"/>
              <w:start w:w="90" w:type="dxa"/>
              <w:bottom w:w="80" w:type="dxa"/>
              <w:end w:w="90" w:type="dxa"/>
            </w:tcMar>
            <w:vAlign w:val="top"/>
            <w:shd w:fill="FAFAFB"/>
          </w:tcPr>
          <w:p>
            <w:r>
              <w:rPr>
                <w:rFonts w:ascii="Inter" w:hAnsi="Inter"/>
                <w:b w:val="0"/>
                <w:i w:val="0"/>
                <w:color w:val="0D0F12"/>
                <w:sz w:val="16"/>
              </w:rPr>
              <w:t>¿Archivo duplicado o existe una versión nueva?</w:t>
            </w:r>
          </w:p>
        </w:tc>
        <w:tc>
          <w:tcPr>
            <w:tcW w:type="dxa" w:w="3437"/>
            <w:tcMar>
              <w:top w:w="80" w:type="dxa"/>
              <w:start w:w="90" w:type="dxa"/>
              <w:bottom w:w="80" w:type="dxa"/>
              <w:end w:w="90" w:type="dxa"/>
            </w:tcMar>
            <w:vAlign w:val="top"/>
            <w:shd w:fill="FAFAFB"/>
          </w:tcPr>
          <w:p>
            <w:r>
              <w:rPr>
                <w:rFonts w:ascii="Inter" w:hAnsi="Inter"/>
                <w:b w:val="0"/>
                <w:i w:val="0"/>
                <w:color w:val="0D0F12"/>
                <w:sz w:val="16"/>
              </w:rPr>
              <w:t>No reprocesar / supersede / revalidar.</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6"/>
              </w:rPr>
              <w:t>Regla externa</w:t>
            </w:r>
          </w:p>
        </w:tc>
        <w:tc>
          <w:tcPr>
            <w:tcW w:type="dxa" w:w="3437"/>
            <w:tcMar>
              <w:top w:w="80" w:type="dxa"/>
              <w:start w:w="90" w:type="dxa"/>
              <w:bottom w:w="80" w:type="dxa"/>
              <w:end w:w="90" w:type="dxa"/>
            </w:tcMar>
            <w:vAlign w:val="top"/>
          </w:tcPr>
          <w:p>
            <w:r>
              <w:rPr>
                <w:rFonts w:ascii="Inter" w:hAnsi="Inter"/>
                <w:b w:val="0"/>
                <w:i w:val="0"/>
                <w:color w:val="0D0F12"/>
                <w:sz w:val="16"/>
              </w:rPr>
              <w:t>¿Validación API/maestro no coincide?</w:t>
            </w:r>
          </w:p>
        </w:tc>
        <w:tc>
          <w:tcPr>
            <w:tcW w:type="dxa" w:w="3437"/>
            <w:tcMar>
              <w:top w:w="80" w:type="dxa"/>
              <w:start w:w="90" w:type="dxa"/>
              <w:bottom w:w="80" w:type="dxa"/>
              <w:end w:w="90" w:type="dxa"/>
            </w:tcMar>
            <w:vAlign w:val="top"/>
          </w:tcPr>
          <w:p>
            <w:r>
              <w:rPr>
                <w:rFonts w:ascii="Inter" w:hAnsi="Inter"/>
                <w:b w:val="0"/>
                <w:i w:val="0"/>
                <w:color w:val="0D0F12"/>
                <w:sz w:val="16"/>
              </w:rPr>
              <w:t>Observar/bloquear según política.</w:t>
            </w:r>
          </w:p>
        </w:tc>
      </w:tr>
    </w:tbl>
    <w:p/>
    <w:tbl>
      <w:tblPr>
        <w:tblW w:type="auto" w:w="0"/>
        <w:jc w:val="center"/>
        <w:tblLook w:firstColumn="1" w:firstRow="1" w:lastColumn="0" w:lastRow="0" w:noHBand="0" w:noVBand="1" w:val="04A0"/>
      </w:tblPr>
      <w:tblGrid>
        <w:gridCol w:w="10310"/>
      </w:tblGrid>
      <w:tr>
        <w:tc>
          <w:tcPr>
            <w:tcW w:type="dxa" w:w="10310"/>
            <w:shd w:fill="FFF8E8"/>
            <w:tcMar>
              <w:top w:w="140" w:type="dxa"/>
              <w:start w:w="160" w:type="dxa"/>
              <w:bottom w:w="140" w:type="dxa"/>
              <w:end w:w="160" w:type="dxa"/>
            </w:tcMar>
          </w:tcPr>
          <w:p>
            <w:r>
              <w:rPr>
                <w:rFonts w:ascii="Inter" w:hAnsi="Inter"/>
                <w:b/>
                <w:i w:val="0"/>
                <w:color w:val="D28B00"/>
                <w:sz w:val="18"/>
              </w:rPr>
              <w:t xml:space="preserve">Guardrail obligatorio — </w:t>
            </w:r>
            <w:r>
              <w:rPr>
                <w:rFonts w:ascii="Inter" w:hAnsi="Inter"/>
                <w:b w:val="0"/>
                <w:i w:val="0"/>
                <w:color w:val="0D0F12"/>
                <w:sz w:val="18"/>
              </w:rPr>
              <w:t>La IA puede proponer una observación o acción, pero las reglas que bloquean, publican o modifican una plantilla deben estar versionadas y aprobadas por un usuario autorizado. La evolución a auto-propuestas y regression gates queda para Sentinel/Simulation en MVP3.</w:t>
            </w:r>
          </w:p>
        </w:tc>
      </w:tr>
    </w:tbl>
    <w:p/>
    <w:p>
      <w:pPr>
        <w:pStyle w:val="Heading1"/>
      </w:pPr>
      <w:r>
        <w:t>8. Modelo de usuarios internos, terceros y partners</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2577"/>
        <w:gridCol w:w="2577"/>
        <w:gridCol w:w="2577"/>
        <w:gridCol w:w="2577"/>
      </w:tblGrid>
      <w:tr>
        <w:trPr>
          <w:tblHeader w:val="true"/>
        </w:trPr>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Rol</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Pertenece a</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Capacidad</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Límite</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Tenant Admin</w:t>
            </w:r>
          </w:p>
        </w:tc>
        <w:tc>
          <w:tcPr>
            <w:tcW w:type="dxa" w:w="2577"/>
            <w:tcMar>
              <w:top w:w="80" w:type="dxa"/>
              <w:start w:w="90" w:type="dxa"/>
              <w:bottom w:w="80" w:type="dxa"/>
              <w:end w:w="90" w:type="dxa"/>
            </w:tcMar>
            <w:vAlign w:val="top"/>
          </w:tcPr>
          <w:p>
            <w:r>
              <w:rPr>
                <w:rFonts w:ascii="Inter" w:hAnsi="Inter"/>
                <w:b w:val="0"/>
                <w:i w:val="0"/>
                <w:color w:val="0D0F12"/>
                <w:sz w:val="15"/>
              </w:rPr>
              <w:t>Empresa cliente</w:t>
            </w:r>
          </w:p>
        </w:tc>
        <w:tc>
          <w:tcPr>
            <w:tcW w:type="dxa" w:w="2577"/>
            <w:tcMar>
              <w:top w:w="80" w:type="dxa"/>
              <w:start w:w="90" w:type="dxa"/>
              <w:bottom w:w="80" w:type="dxa"/>
              <w:end w:w="90" w:type="dxa"/>
            </w:tcMar>
            <w:vAlign w:val="top"/>
          </w:tcPr>
          <w:p>
            <w:r>
              <w:rPr>
                <w:rFonts w:ascii="Inter" w:hAnsi="Inter"/>
                <w:b w:val="0"/>
                <w:i w:val="0"/>
                <w:color w:val="0D0F12"/>
                <w:sz w:val="15"/>
              </w:rPr>
              <w:t>Usuarios, roles, policies, integraciones, cuotas.</w:t>
            </w:r>
          </w:p>
        </w:tc>
        <w:tc>
          <w:tcPr>
            <w:tcW w:type="dxa" w:w="2577"/>
            <w:tcMar>
              <w:top w:w="80" w:type="dxa"/>
              <w:start w:w="90" w:type="dxa"/>
              <w:bottom w:w="80" w:type="dxa"/>
              <w:end w:w="90" w:type="dxa"/>
            </w:tcMar>
            <w:vAlign w:val="top"/>
          </w:tcPr>
          <w:p>
            <w:r>
              <w:rPr>
                <w:rFonts w:ascii="Inter" w:hAnsi="Inter"/>
                <w:b w:val="0"/>
                <w:i w:val="0"/>
                <w:color w:val="0D0F12"/>
                <w:sz w:val="15"/>
              </w:rPr>
              <w:t>No ve otros tenants.</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Process Admin</w:t>
            </w:r>
          </w:p>
        </w:tc>
        <w:tc>
          <w:tcPr>
            <w:tcW w:type="dxa" w:w="2577"/>
            <w:tcMar>
              <w:top w:w="80" w:type="dxa"/>
              <w:start w:w="90" w:type="dxa"/>
              <w:bottom w:w="80" w:type="dxa"/>
              <w:end w:w="90" w:type="dxa"/>
            </w:tcMar>
            <w:vAlign w:val="top"/>
            <w:shd w:fill="FAFAFB"/>
          </w:tcPr>
          <w:p>
            <w:r>
              <w:rPr>
                <w:rFonts w:ascii="Inter" w:hAnsi="Inter"/>
                <w:b w:val="0"/>
                <w:i w:val="0"/>
                <w:color w:val="0D0F12"/>
                <w:sz w:val="15"/>
              </w:rPr>
              <w:t>Empresa cliente</w:t>
            </w:r>
          </w:p>
        </w:tc>
        <w:tc>
          <w:tcPr>
            <w:tcW w:type="dxa" w:w="2577"/>
            <w:tcMar>
              <w:top w:w="80" w:type="dxa"/>
              <w:start w:w="90" w:type="dxa"/>
              <w:bottom w:w="80" w:type="dxa"/>
              <w:end w:w="90" w:type="dxa"/>
            </w:tcMar>
            <w:vAlign w:val="top"/>
            <w:shd w:fill="FAFAFB"/>
          </w:tcPr>
          <w:p>
            <w:r>
              <w:rPr>
                <w:rFonts w:ascii="Inter" w:hAnsi="Inter"/>
                <w:b w:val="0"/>
                <w:i w:val="0"/>
                <w:color w:val="0D0F12"/>
                <w:sz w:val="15"/>
              </w:rPr>
              <w:t>Crear/adaptar/probar/publicar plantillas y configurar Supervisor.</w:t>
            </w:r>
          </w:p>
        </w:tc>
        <w:tc>
          <w:tcPr>
            <w:tcW w:type="dxa" w:w="2577"/>
            <w:tcMar>
              <w:top w:w="80" w:type="dxa"/>
              <w:start w:w="90" w:type="dxa"/>
              <w:bottom w:w="80" w:type="dxa"/>
              <w:end w:w="90" w:type="dxa"/>
            </w:tcMar>
            <w:vAlign w:val="top"/>
            <w:shd w:fill="FAFAFB"/>
          </w:tcPr>
          <w:p>
            <w:r>
              <w:rPr>
                <w:rFonts w:ascii="Inter" w:hAnsi="Inter"/>
                <w:b w:val="0"/>
                <w:i w:val="0"/>
                <w:color w:val="0D0F12"/>
                <w:sz w:val="15"/>
              </w:rPr>
              <w:t>Scope por familia/proceso.</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Process Operator</w:t>
            </w:r>
          </w:p>
        </w:tc>
        <w:tc>
          <w:tcPr>
            <w:tcW w:type="dxa" w:w="2577"/>
            <w:tcMar>
              <w:top w:w="80" w:type="dxa"/>
              <w:start w:w="90" w:type="dxa"/>
              <w:bottom w:w="80" w:type="dxa"/>
              <w:end w:w="90" w:type="dxa"/>
            </w:tcMar>
            <w:vAlign w:val="top"/>
          </w:tcPr>
          <w:p>
            <w:r>
              <w:rPr>
                <w:rFonts w:ascii="Inter" w:hAnsi="Inter"/>
                <w:b w:val="0"/>
                <w:i w:val="0"/>
                <w:color w:val="0D0F12"/>
                <w:sz w:val="15"/>
              </w:rPr>
              <w:t>Empresa cliente</w:t>
            </w:r>
          </w:p>
        </w:tc>
        <w:tc>
          <w:tcPr>
            <w:tcW w:type="dxa" w:w="2577"/>
            <w:tcMar>
              <w:top w:w="80" w:type="dxa"/>
              <w:start w:w="90" w:type="dxa"/>
              <w:bottom w:w="80" w:type="dxa"/>
              <w:end w:w="90" w:type="dxa"/>
            </w:tcMar>
            <w:vAlign w:val="top"/>
          </w:tcPr>
          <w:p>
            <w:r>
              <w:rPr>
                <w:rFonts w:ascii="Inter" w:hAnsi="Inter"/>
                <w:b w:val="0"/>
                <w:i w:val="0"/>
                <w:color w:val="0D0F12"/>
                <w:sz w:val="15"/>
              </w:rPr>
              <w:t>Ejecutar tareas, cargar/revisar documentos.</w:t>
            </w:r>
          </w:p>
        </w:tc>
        <w:tc>
          <w:tcPr>
            <w:tcW w:type="dxa" w:w="2577"/>
            <w:tcMar>
              <w:top w:w="80" w:type="dxa"/>
              <w:start w:w="90" w:type="dxa"/>
              <w:bottom w:w="80" w:type="dxa"/>
              <w:end w:w="90" w:type="dxa"/>
            </w:tcMar>
            <w:vAlign w:val="top"/>
          </w:tcPr>
          <w:p>
            <w:r>
              <w:rPr>
                <w:rFonts w:ascii="Inter" w:hAnsi="Inter"/>
                <w:b w:val="0"/>
                <w:i w:val="0"/>
                <w:color w:val="0D0F12"/>
                <w:sz w:val="15"/>
              </w:rPr>
              <w:t>Sólo instancias autorizadas.</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External User</w:t>
            </w:r>
          </w:p>
        </w:tc>
        <w:tc>
          <w:tcPr>
            <w:tcW w:type="dxa" w:w="2577"/>
            <w:tcMar>
              <w:top w:w="80" w:type="dxa"/>
              <w:start w:w="90" w:type="dxa"/>
              <w:bottom w:w="80" w:type="dxa"/>
              <w:end w:w="90" w:type="dxa"/>
            </w:tcMar>
            <w:vAlign w:val="top"/>
            <w:shd w:fill="FAFAFB"/>
          </w:tcPr>
          <w:p>
            <w:r>
              <w:rPr>
                <w:rFonts w:ascii="Inter" w:hAnsi="Inter"/>
                <w:b w:val="0"/>
                <w:i w:val="0"/>
                <w:color w:val="0D0F12"/>
                <w:sz w:val="15"/>
              </w:rPr>
              <w:t>Tercero recurrente</w:t>
            </w:r>
          </w:p>
        </w:tc>
        <w:tc>
          <w:tcPr>
            <w:tcW w:type="dxa" w:w="2577"/>
            <w:tcMar>
              <w:top w:w="80" w:type="dxa"/>
              <w:start w:w="90" w:type="dxa"/>
              <w:bottom w:w="80" w:type="dxa"/>
              <w:end w:w="90" w:type="dxa"/>
            </w:tcMar>
            <w:vAlign w:val="top"/>
            <w:shd w:fill="FAFAFB"/>
          </w:tcPr>
          <w:p>
            <w:r>
              <w:rPr>
                <w:rFonts w:ascii="Inter" w:hAnsi="Inter"/>
                <w:b w:val="0"/>
                <w:i w:val="0"/>
                <w:color w:val="0D0F12"/>
                <w:sz w:val="15"/>
              </w:rPr>
              <w:t>Portal limitado: tareas/documentos/estado asignados.</w:t>
            </w:r>
          </w:p>
        </w:tc>
        <w:tc>
          <w:tcPr>
            <w:tcW w:type="dxa" w:w="2577"/>
            <w:tcMar>
              <w:top w:w="80" w:type="dxa"/>
              <w:start w:w="90" w:type="dxa"/>
              <w:bottom w:w="80" w:type="dxa"/>
              <w:end w:w="90" w:type="dxa"/>
            </w:tcMar>
            <w:vAlign w:val="top"/>
            <w:shd w:fill="FAFAFB"/>
          </w:tcPr>
          <w:p>
            <w:r>
              <w:rPr>
                <w:rFonts w:ascii="Inter" w:hAnsi="Inter"/>
                <w:b w:val="0"/>
                <w:i w:val="0"/>
                <w:color w:val="0D0F12"/>
                <w:sz w:val="15"/>
              </w:rPr>
              <w:t>No acceso al tenant completo.</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Secure Action Guest</w:t>
            </w:r>
          </w:p>
        </w:tc>
        <w:tc>
          <w:tcPr>
            <w:tcW w:type="dxa" w:w="2577"/>
            <w:tcMar>
              <w:top w:w="80" w:type="dxa"/>
              <w:start w:w="90" w:type="dxa"/>
              <w:bottom w:w="80" w:type="dxa"/>
              <w:end w:w="90" w:type="dxa"/>
            </w:tcMar>
            <w:vAlign w:val="top"/>
          </w:tcPr>
          <w:p>
            <w:r>
              <w:rPr>
                <w:rFonts w:ascii="Inter" w:hAnsi="Inter"/>
                <w:b w:val="0"/>
                <w:i w:val="0"/>
                <w:color w:val="0D0F12"/>
                <w:sz w:val="15"/>
              </w:rPr>
              <w:t>Tercero ocasional</w:t>
            </w:r>
          </w:p>
        </w:tc>
        <w:tc>
          <w:tcPr>
            <w:tcW w:type="dxa" w:w="2577"/>
            <w:tcMar>
              <w:top w:w="80" w:type="dxa"/>
              <w:start w:w="90" w:type="dxa"/>
              <w:bottom w:w="80" w:type="dxa"/>
              <w:end w:w="90" w:type="dxa"/>
            </w:tcMar>
            <w:vAlign w:val="top"/>
          </w:tcPr>
          <w:p>
            <w:r>
              <w:rPr>
                <w:rFonts w:ascii="Inter" w:hAnsi="Inter"/>
                <w:b w:val="0"/>
                <w:i w:val="0"/>
                <w:color w:val="0D0F12"/>
                <w:sz w:val="15"/>
              </w:rPr>
              <w:t>Una acción por link/token con TTL.</w:t>
            </w:r>
          </w:p>
        </w:tc>
        <w:tc>
          <w:tcPr>
            <w:tcW w:type="dxa" w:w="2577"/>
            <w:tcMar>
              <w:top w:w="80" w:type="dxa"/>
              <w:start w:w="90" w:type="dxa"/>
              <w:bottom w:w="80" w:type="dxa"/>
              <w:end w:w="90" w:type="dxa"/>
            </w:tcMar>
            <w:vAlign w:val="top"/>
          </w:tcPr>
          <w:p>
            <w:r>
              <w:rPr>
                <w:rFonts w:ascii="Inter" w:hAnsi="Inter"/>
                <w:b w:val="0"/>
                <w:i w:val="0"/>
                <w:color w:val="0D0F12"/>
                <w:sz w:val="15"/>
              </w:rPr>
              <w:t>Un solo recurso/propósito.</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Partner Consultant</w:t>
            </w:r>
          </w:p>
        </w:tc>
        <w:tc>
          <w:tcPr>
            <w:tcW w:type="dxa" w:w="2577"/>
            <w:tcMar>
              <w:top w:w="80" w:type="dxa"/>
              <w:start w:w="90" w:type="dxa"/>
              <w:bottom w:w="80" w:type="dxa"/>
              <w:end w:w="90" w:type="dxa"/>
            </w:tcMar>
            <w:vAlign w:val="top"/>
            <w:shd w:fill="FAFAFB"/>
          </w:tcPr>
          <w:p>
            <w:r>
              <w:rPr>
                <w:rFonts w:ascii="Inter" w:hAnsi="Inter"/>
                <w:b w:val="0"/>
                <w:i w:val="0"/>
                <w:color w:val="0D0F12"/>
                <w:sz w:val="15"/>
              </w:rPr>
              <w:t>Organización partner</w:t>
            </w:r>
          </w:p>
        </w:tc>
        <w:tc>
          <w:tcPr>
            <w:tcW w:type="dxa" w:w="2577"/>
            <w:tcMar>
              <w:top w:w="80" w:type="dxa"/>
              <w:start w:w="90" w:type="dxa"/>
              <w:bottom w:w="80" w:type="dxa"/>
              <w:end w:w="90" w:type="dxa"/>
            </w:tcMar>
            <w:vAlign w:val="top"/>
            <w:shd w:fill="FAFAFB"/>
          </w:tcPr>
          <w:p>
            <w:r>
              <w:rPr>
                <w:rFonts w:ascii="Inter" w:hAnsi="Inter"/>
                <w:b w:val="0"/>
                <w:i w:val="0"/>
                <w:color w:val="0D0F12"/>
                <w:sz w:val="15"/>
              </w:rPr>
              <w:t>Configurar plantillas/tenant del cliente sólo por delegación explícita.</w:t>
            </w:r>
          </w:p>
        </w:tc>
        <w:tc>
          <w:tcPr>
            <w:tcW w:type="dxa" w:w="2577"/>
            <w:tcMar>
              <w:top w:w="80" w:type="dxa"/>
              <w:start w:w="90" w:type="dxa"/>
              <w:bottom w:w="80" w:type="dxa"/>
              <w:end w:w="90" w:type="dxa"/>
            </w:tcMar>
            <w:vAlign w:val="top"/>
            <w:shd w:fill="FAFAFB"/>
          </w:tcPr>
          <w:p>
            <w:r>
              <w:rPr>
                <w:rFonts w:ascii="Inter" w:hAnsi="Inter"/>
                <w:b w:val="0"/>
                <w:i w:val="0"/>
                <w:color w:val="0D0F12"/>
                <w:sz w:val="15"/>
              </w:rPr>
              <w:t>Sin superusuario transversal.</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Partner Publisher</w:t>
            </w:r>
          </w:p>
        </w:tc>
        <w:tc>
          <w:tcPr>
            <w:tcW w:type="dxa" w:w="2577"/>
            <w:tcMar>
              <w:top w:w="80" w:type="dxa"/>
              <w:start w:w="90" w:type="dxa"/>
              <w:bottom w:w="80" w:type="dxa"/>
              <w:end w:w="90" w:type="dxa"/>
            </w:tcMar>
            <w:vAlign w:val="top"/>
          </w:tcPr>
          <w:p>
            <w:r>
              <w:rPr>
                <w:rFonts w:ascii="Inter" w:hAnsi="Inter"/>
                <w:b w:val="0"/>
                <w:i w:val="0"/>
                <w:color w:val="0D0F12"/>
                <w:sz w:val="15"/>
              </w:rPr>
              <w:t>Partner habilitado</w:t>
            </w:r>
          </w:p>
        </w:tc>
        <w:tc>
          <w:tcPr>
            <w:tcW w:type="dxa" w:w="2577"/>
            <w:tcMar>
              <w:top w:w="80" w:type="dxa"/>
              <w:start w:w="90" w:type="dxa"/>
              <w:bottom w:w="80" w:type="dxa"/>
              <w:end w:w="90" w:type="dxa"/>
            </w:tcMar>
            <w:vAlign w:val="top"/>
          </w:tcPr>
          <w:p>
            <w:r>
              <w:rPr>
                <w:rFonts w:ascii="Inter" w:hAnsi="Inter"/>
                <w:b w:val="0"/>
                <w:i w:val="0"/>
                <w:color w:val="0D0F12"/>
                <w:sz w:val="15"/>
              </w:rPr>
              <w:t>Marcar plantilla catalog-ready y gestionar versiones/propiedad.</w:t>
            </w:r>
          </w:p>
        </w:tc>
        <w:tc>
          <w:tcPr>
            <w:tcW w:type="dxa" w:w="2577"/>
            <w:tcMar>
              <w:top w:w="80" w:type="dxa"/>
              <w:start w:w="90" w:type="dxa"/>
              <w:bottom w:w="80" w:type="dxa"/>
              <w:end w:w="90" w:type="dxa"/>
            </w:tcMar>
            <w:vAlign w:val="top"/>
          </w:tcPr>
          <w:p>
            <w:r>
              <w:rPr>
                <w:rFonts w:ascii="Inter" w:hAnsi="Inter"/>
                <w:b w:val="0"/>
                <w:i w:val="0"/>
                <w:color w:val="0D0F12"/>
                <w:sz w:val="15"/>
              </w:rPr>
              <w:t>Publicación pública sujeta a certificación futura.</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NEXT DOC Operator</w:t>
            </w:r>
          </w:p>
        </w:tc>
        <w:tc>
          <w:tcPr>
            <w:tcW w:type="dxa" w:w="2577"/>
            <w:tcMar>
              <w:top w:w="80" w:type="dxa"/>
              <w:start w:w="90" w:type="dxa"/>
              <w:bottom w:w="80" w:type="dxa"/>
              <w:end w:w="90" w:type="dxa"/>
            </w:tcMar>
            <w:vAlign w:val="top"/>
            <w:shd w:fill="FAFAFB"/>
          </w:tcPr>
          <w:p>
            <w:r>
              <w:rPr>
                <w:rFonts w:ascii="Inter" w:hAnsi="Inter"/>
                <w:b w:val="0"/>
                <w:i w:val="0"/>
                <w:color w:val="0D0F12"/>
                <w:sz w:val="15"/>
              </w:rPr>
              <w:t>Plataforma</w:t>
            </w:r>
          </w:p>
        </w:tc>
        <w:tc>
          <w:tcPr>
            <w:tcW w:type="dxa" w:w="2577"/>
            <w:tcMar>
              <w:top w:w="80" w:type="dxa"/>
              <w:start w:w="90" w:type="dxa"/>
              <w:bottom w:w="80" w:type="dxa"/>
              <w:end w:w="90" w:type="dxa"/>
            </w:tcMar>
            <w:vAlign w:val="top"/>
            <w:shd w:fill="FAFAFB"/>
          </w:tcPr>
          <w:p>
            <w:r>
              <w:rPr>
                <w:rFonts w:ascii="Inter" w:hAnsi="Inter"/>
                <w:b w:val="0"/>
                <w:i w:val="0"/>
                <w:color w:val="0D0F12"/>
                <w:sz w:val="15"/>
              </w:rPr>
              <w:t>Soporte operativo con controles break-glass y audit.</w:t>
            </w:r>
          </w:p>
        </w:tc>
        <w:tc>
          <w:tcPr>
            <w:tcW w:type="dxa" w:w="2577"/>
            <w:tcMar>
              <w:top w:w="80" w:type="dxa"/>
              <w:start w:w="90" w:type="dxa"/>
              <w:bottom w:w="80" w:type="dxa"/>
              <w:end w:w="90" w:type="dxa"/>
            </w:tcMar>
            <w:vAlign w:val="top"/>
            <w:shd w:fill="FAFAFB"/>
          </w:tcPr>
          <w:p>
            <w:r>
              <w:rPr>
                <w:rFonts w:ascii="Inter" w:hAnsi="Inter"/>
                <w:b w:val="0"/>
                <w:i w:val="0"/>
                <w:color w:val="0D0F12"/>
                <w:sz w:val="15"/>
              </w:rPr>
              <w:t>Acceso excepcional y trazado.</w:t>
            </w:r>
          </w:p>
        </w:tc>
      </w:tr>
    </w:tbl>
    <w:p/>
    <w:p>
      <w:pPr>
        <w:pStyle w:val="Heading1"/>
      </w:pPr>
      <w:r>
        <w:t>9. Arquitectura Partner-ready y Marketplace-ready desde MVP0</w:t>
      </w:r>
    </w:p>
    <w:p>
      <w:r>
        <w:rPr>
          <w:rFonts w:ascii="Inter" w:hAnsi="Inter"/>
          <w:b w:val="0"/>
          <w:i w:val="0"/>
          <w:color w:val="0D0F12"/>
          <w:sz w:val="18"/>
        </w:rPr>
        <w:t>El marketplace no necesita cobrar ni liquidar en MVP0, pero el core sí debe saber quién creó una plantilla, quién es su dueño, de qué versión proviene, quién la instaló y qué modificaciones hizo el cliente. Si esto se agrega después, la migración rompe la trazabilidad y la propiedad intelectual de los partners.</w:t>
      </w:r>
    </w:p>
    <w:p>
      <w:pPr>
        <w:jc w:val="center"/>
      </w:pPr>
      <w:r>
        <w:drawing>
          <wp:inline xmlns:a="http://schemas.openxmlformats.org/drawingml/2006/main" xmlns:pic="http://schemas.openxmlformats.org/drawingml/2006/picture">
            <wp:extent cx="6217920" cy="4480700"/>
            <wp:docPr id="5" name="Picture 5"/>
            <wp:cNvGraphicFramePr>
              <a:graphicFrameLocks noChangeAspect="1"/>
            </wp:cNvGraphicFramePr>
            <a:graphic>
              <a:graphicData uri="http://schemas.openxmlformats.org/drawingml/2006/picture">
                <pic:pic>
                  <pic:nvPicPr>
                    <pic:cNvPr id="0" name="04_partner_marketplace.png"/>
                    <pic:cNvPicPr/>
                  </pic:nvPicPr>
                  <pic:blipFill>
                    <a:blip r:embed="rId15"/>
                    <a:stretch>
                      <a:fillRect/>
                    </a:stretch>
                  </pic:blipFill>
                  <pic:spPr>
                    <a:xfrm>
                      <a:off x="0" y="0"/>
                      <a:ext cx="6217920" cy="4480700"/>
                    </a:xfrm>
                    <a:prstGeom prst="rect"/>
                  </pic:spPr>
                </pic:pic>
              </a:graphicData>
            </a:graphic>
          </wp:inline>
        </w:drawing>
      </w:r>
    </w:p>
    <w:p>
      <w:pPr>
        <w:jc w:val="center"/>
      </w:pPr>
      <w:r>
        <w:rPr>
          <w:rFonts w:ascii="Inter" w:hAnsi="Inter"/>
          <w:b w:val="0"/>
          <w:i/>
          <w:color w:val="6B7280"/>
          <w:sz w:val="15"/>
        </w:rPr>
        <w:t>Figura 4 — Separación entre organización partner, tenants clientes y futuro marketplace.</w:t>
      </w:r>
    </w:p>
    <w:p>
      <w:pPr>
        <w:jc w:val="center"/>
      </w:pPr>
      <w:r>
        <w:drawing>
          <wp:inline xmlns:a="http://schemas.openxmlformats.org/drawingml/2006/main" xmlns:pic="http://schemas.openxmlformats.org/drawingml/2006/picture">
            <wp:extent cx="6217920" cy="1244216"/>
            <wp:docPr id="6" name="Picture 6"/>
            <wp:cNvGraphicFramePr>
              <a:graphicFrameLocks noChangeAspect="1"/>
            </wp:cNvGraphicFramePr>
            <a:graphic>
              <a:graphicData uri="http://schemas.openxmlformats.org/drawingml/2006/picture">
                <pic:pic>
                  <pic:nvPicPr>
                    <pic:cNvPr id="0" name="05_template_lifecycle.png"/>
                    <pic:cNvPicPr/>
                  </pic:nvPicPr>
                  <pic:blipFill>
                    <a:blip r:embed="rId16"/>
                    <a:stretch>
                      <a:fillRect/>
                    </a:stretch>
                  </pic:blipFill>
                  <pic:spPr>
                    <a:xfrm>
                      <a:off x="0" y="0"/>
                      <a:ext cx="6217920" cy="1244216"/>
                    </a:xfrm>
                    <a:prstGeom prst="rect"/>
                  </pic:spPr>
                </pic:pic>
              </a:graphicData>
            </a:graphic>
          </wp:inline>
        </w:drawing>
      </w:r>
    </w:p>
    <w:p>
      <w:pPr>
        <w:jc w:val="center"/>
      </w:pPr>
      <w:r>
        <w:rPr>
          <w:rFonts w:ascii="Inter" w:hAnsi="Inter"/>
          <w:b w:val="0"/>
          <w:i/>
          <w:color w:val="6B7280"/>
          <w:sz w:val="15"/>
        </w:rPr>
        <w:t>Figura 5 — Lifecycle único de plantillas; el marketplace se apoya en él, no lo reemplaza.</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5155"/>
        <w:gridCol w:w="5155"/>
      </w:tblGrid>
      <w:tr>
        <w:trPr>
          <w:tblHeader w:val="true"/>
        </w:trPr>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Entidad</w:t>
            </w:r>
          </w:p>
        </w:tc>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Finalidad</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partner_organization</w:t>
            </w:r>
          </w:p>
        </w:tc>
        <w:tc>
          <w:tcPr>
            <w:tcW w:type="dxa" w:w="5155"/>
            <w:tcMar>
              <w:top w:w="80" w:type="dxa"/>
              <w:start w:w="90" w:type="dxa"/>
              <w:bottom w:w="80" w:type="dxa"/>
              <w:end w:w="90" w:type="dxa"/>
            </w:tcMar>
            <w:vAlign w:val="top"/>
          </w:tcPr>
          <w:p>
            <w:r>
              <w:rPr>
                <w:rFonts w:ascii="Inter" w:hAnsi="Inter"/>
                <w:b w:val="0"/>
                <w:i w:val="0"/>
                <w:color w:val="0D0F12"/>
                <w:sz w:val="16"/>
              </w:rPr>
              <w:t>Identidad del partner/consultora; status, país, contrato, publisher eligibility.</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delegated_access_grant</w:t>
            </w:r>
          </w:p>
        </w:tc>
        <w:tc>
          <w:tcPr>
            <w:tcW w:type="dxa" w:w="5155"/>
            <w:tcMar>
              <w:top w:w="80" w:type="dxa"/>
              <w:start w:w="90" w:type="dxa"/>
              <w:bottom w:w="80" w:type="dxa"/>
              <w:end w:w="90" w:type="dxa"/>
            </w:tcMar>
            <w:vAlign w:val="top"/>
            <w:shd w:fill="FAFAFB"/>
          </w:tcPr>
          <w:p>
            <w:r>
              <w:rPr>
                <w:rFonts w:ascii="Inter" w:hAnsi="Inter"/>
                <w:b w:val="0"/>
                <w:i w:val="0"/>
                <w:color w:val="0D0F12"/>
                <w:sz w:val="16"/>
              </w:rPr>
              <w:t>partner_user → client_tenant + scopes + fecha/expiración + aprobador.</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template_definition</w:t>
            </w:r>
          </w:p>
        </w:tc>
        <w:tc>
          <w:tcPr>
            <w:tcW w:type="dxa" w:w="5155"/>
            <w:tcMar>
              <w:top w:w="80" w:type="dxa"/>
              <w:start w:w="90" w:type="dxa"/>
              <w:bottom w:w="80" w:type="dxa"/>
              <w:end w:w="90" w:type="dxa"/>
            </w:tcMar>
            <w:vAlign w:val="top"/>
          </w:tcPr>
          <w:p>
            <w:r>
              <w:rPr>
                <w:rFonts w:ascii="Inter" w:hAnsi="Inter"/>
                <w:b w:val="0"/>
                <w:i w:val="0"/>
                <w:color w:val="0D0F12"/>
                <w:sz w:val="16"/>
              </w:rPr>
              <w:t>ID estable, familia, code, owner_type, owner_org_id, visibility, tags.</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template_version</w:t>
            </w:r>
          </w:p>
        </w:tc>
        <w:tc>
          <w:tcPr>
            <w:tcW w:type="dxa" w:w="5155"/>
            <w:tcMar>
              <w:top w:w="80" w:type="dxa"/>
              <w:start w:w="90" w:type="dxa"/>
              <w:bottom w:w="80" w:type="dxa"/>
              <w:end w:w="90" w:type="dxa"/>
            </w:tcMar>
            <w:vAlign w:val="top"/>
            <w:shd w:fill="FAFAFB"/>
          </w:tcPr>
          <w:p>
            <w:r>
              <w:rPr>
                <w:rFonts w:ascii="Inter" w:hAnsi="Inter"/>
                <w:b w:val="0"/>
                <w:i w:val="0"/>
                <w:color w:val="0D0F12"/>
                <w:sz w:val="16"/>
              </w:rPr>
              <w:t>Semver, status, manifest, graph, schemas, rules, fixtures, changelog, hash.</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template_provenance</w:t>
            </w:r>
          </w:p>
        </w:tc>
        <w:tc>
          <w:tcPr>
            <w:tcW w:type="dxa" w:w="5155"/>
            <w:tcMar>
              <w:top w:w="80" w:type="dxa"/>
              <w:start w:w="90" w:type="dxa"/>
              <w:bottom w:w="80" w:type="dxa"/>
              <w:end w:w="90" w:type="dxa"/>
            </w:tcMar>
            <w:vAlign w:val="top"/>
          </w:tcPr>
          <w:p>
            <w:r>
              <w:rPr>
                <w:rFonts w:ascii="Inter" w:hAnsi="Inter"/>
                <w:b w:val="0"/>
                <w:i w:val="0"/>
                <w:color w:val="0D0F12"/>
                <w:sz w:val="16"/>
              </w:rPr>
              <w:t>created_from / forked_from / overlay_of / source_version / author.</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template_installation</w:t>
            </w:r>
          </w:p>
        </w:tc>
        <w:tc>
          <w:tcPr>
            <w:tcW w:type="dxa" w:w="5155"/>
            <w:tcMar>
              <w:top w:w="80" w:type="dxa"/>
              <w:start w:w="90" w:type="dxa"/>
              <w:bottom w:w="80" w:type="dxa"/>
              <w:end w:w="90" w:type="dxa"/>
            </w:tcMar>
            <w:vAlign w:val="top"/>
            <w:shd w:fill="FAFAFB"/>
          </w:tcPr>
          <w:p>
            <w:r>
              <w:rPr>
                <w:rFonts w:ascii="Inter" w:hAnsi="Inter"/>
                <w:b w:val="0"/>
                <w:i w:val="0"/>
                <w:color w:val="0D0F12"/>
                <w:sz w:val="16"/>
              </w:rPr>
              <w:t>tenant, template_version, pin/update policy, installed_by, installed_at.</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tenant_template_override</w:t>
            </w:r>
          </w:p>
        </w:tc>
        <w:tc>
          <w:tcPr>
            <w:tcW w:type="dxa" w:w="5155"/>
            <w:tcMar>
              <w:top w:w="80" w:type="dxa"/>
              <w:start w:w="90" w:type="dxa"/>
              <w:bottom w:w="80" w:type="dxa"/>
              <w:end w:w="90" w:type="dxa"/>
            </w:tcMar>
            <w:vAlign w:val="top"/>
          </w:tcPr>
          <w:p>
            <w:r>
              <w:rPr>
                <w:rFonts w:ascii="Inter" w:hAnsi="Inter"/>
                <w:b w:val="0"/>
                <w:i w:val="0"/>
                <w:color w:val="0D0F12"/>
                <w:sz w:val="16"/>
              </w:rPr>
              <w:t>Cambios locales del cliente sin editar la versión del publisher.</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publisher_profile</w:t>
            </w:r>
          </w:p>
        </w:tc>
        <w:tc>
          <w:tcPr>
            <w:tcW w:type="dxa" w:w="5155"/>
            <w:tcMar>
              <w:top w:w="80" w:type="dxa"/>
              <w:start w:w="90" w:type="dxa"/>
              <w:bottom w:w="80" w:type="dxa"/>
              <w:end w:w="90" w:type="dxa"/>
            </w:tcMar>
            <w:vAlign w:val="top"/>
            <w:shd w:fill="FAFAFB"/>
          </w:tcPr>
          <w:p>
            <w:r>
              <w:rPr>
                <w:rFonts w:ascii="Inter" w:hAnsi="Inter"/>
                <w:b w:val="0"/>
                <w:i w:val="0"/>
                <w:color w:val="0D0F12"/>
                <w:sz w:val="16"/>
              </w:rPr>
              <w:t>Datos para marketplace futuro: legal/commercial status y payout readiness.</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marketplace_listing</w:t>
            </w:r>
          </w:p>
        </w:tc>
        <w:tc>
          <w:tcPr>
            <w:tcW w:type="dxa" w:w="5155"/>
            <w:tcMar>
              <w:top w:w="80" w:type="dxa"/>
              <w:start w:w="90" w:type="dxa"/>
              <w:bottom w:w="80" w:type="dxa"/>
              <w:end w:w="90" w:type="dxa"/>
            </w:tcMar>
            <w:vAlign w:val="top"/>
          </w:tcPr>
          <w:p>
            <w:r>
              <w:rPr>
                <w:rFonts w:ascii="Inter" w:hAnsi="Inter"/>
                <w:b w:val="0"/>
                <w:i w:val="0"/>
                <w:color w:val="0D0F12"/>
                <w:sz w:val="16"/>
              </w:rPr>
              <w:t>Campo/entidad dormante en MVP0: draft/catalog-ready; público en MVP2.</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commercial_terms</w:t>
            </w:r>
          </w:p>
        </w:tc>
        <w:tc>
          <w:tcPr>
            <w:tcW w:type="dxa" w:w="5155"/>
            <w:tcMar>
              <w:top w:w="80" w:type="dxa"/>
              <w:start w:w="90" w:type="dxa"/>
              <w:bottom w:w="80" w:type="dxa"/>
              <w:end w:w="90" w:type="dxa"/>
            </w:tcMar>
            <w:vAlign w:val="top"/>
            <w:shd w:fill="FAFAFB"/>
          </w:tcPr>
          <w:p>
            <w:r>
              <w:rPr>
                <w:rFonts w:ascii="Inter" w:hAnsi="Inter"/>
                <w:b w:val="0"/>
                <w:i w:val="0"/>
                <w:color w:val="0D0F12"/>
                <w:sz w:val="16"/>
              </w:rPr>
              <w:t>license_type, price_model, currency, revenue_share — opcional/dormante MVP0.</w:t>
            </w:r>
          </w:p>
        </w:tc>
      </w:tr>
    </w:tbl>
    <w:p/>
    <w:tbl>
      <w:tblPr>
        <w:tblW w:type="auto" w:w="0"/>
        <w:jc w:val="center"/>
        <w:tblLook w:firstColumn="1" w:firstRow="1" w:lastColumn="0" w:lastRow="0" w:noHBand="0" w:noVBand="1" w:val="04A0"/>
      </w:tblPr>
      <w:tblGrid>
        <w:gridCol w:w="10310"/>
      </w:tblGrid>
      <w:tr>
        <w:tc>
          <w:tcPr>
            <w:tcW w:type="dxa" w:w="10310"/>
            <w:shd w:fill="F3EEFF"/>
            <w:tcMar>
              <w:top w:w="140" w:type="dxa"/>
              <w:start w:w="160" w:type="dxa"/>
              <w:bottom w:w="140" w:type="dxa"/>
              <w:end w:w="160" w:type="dxa"/>
            </w:tcMar>
          </w:tcPr>
          <w:p>
            <w:r>
              <w:rPr>
                <w:rFonts w:ascii="Inter" w:hAnsi="Inter"/>
                <w:b/>
                <w:i w:val="0"/>
                <w:color w:val="6C36FF"/>
                <w:sz w:val="18"/>
              </w:rPr>
              <w:t xml:space="preserve">Regla IP / actualización — </w:t>
            </w:r>
            <w:r>
              <w:rPr>
                <w:rFonts w:ascii="Inter" w:hAnsi="Inter"/>
                <w:b w:val="0"/>
                <w:i w:val="0"/>
                <w:color w:val="0D0F12"/>
                <w:sz w:val="18"/>
              </w:rPr>
              <w:t>Una plantilla publicada por un partner no se copia silenciosamente ni se sobreescribe. El cliente instala una versión. Sus cambios son fork/overlay local. Una actualización del publisher crea una nueva versión y el cliente decide cuándo adoptar/migrar.</w:t>
            </w:r>
          </w:p>
        </w:tc>
      </w:tr>
    </w:tbl>
    <w:p/>
    <w:p>
      <w:pPr>
        <w:pStyle w:val="Heading1"/>
      </w:pPr>
      <w:r>
        <w:t>10. Biblioteca COMEX + integración con Follow</w:t>
      </w:r>
    </w:p>
    <w:p>
      <w:r>
        <w:rPr>
          <w:rFonts w:ascii="Inter" w:hAnsi="Inter"/>
          <w:b w:val="0"/>
          <w:i w:val="0"/>
          <w:color w:val="0D0F12"/>
          <w:sz w:val="18"/>
        </w:rPr>
        <w:t>La biblioteca V7 ya define diez plantillas base de importación/exportación marítima FCL/LCL, aérea y terrestre FTL/LTL, además de overlays Reefer, Dangerous Goods, alimentos/agro y sobredimensionada. Para el MVP0 Comercial se deben conservar esas definiciones y agregar cuatro plantillas multimodales explícitas: exportación Road+Sea, importación Sea+Road, exportación Road+Air e importación Air+Road. [BASE-07]</w:t>
      </w:r>
    </w:p>
    <w:p>
      <w:pPr>
        <w:jc w:val="center"/>
      </w:pPr>
      <w:r>
        <w:drawing>
          <wp:inline xmlns:a="http://schemas.openxmlformats.org/drawingml/2006/main" xmlns:pic="http://schemas.openxmlformats.org/drawingml/2006/picture">
            <wp:extent cx="6217920" cy="744771"/>
            <wp:docPr id="7" name="Picture 7"/>
            <wp:cNvGraphicFramePr>
              <a:graphicFrameLocks noChangeAspect="1"/>
            </wp:cNvGraphicFramePr>
            <a:graphic>
              <a:graphicData uri="http://schemas.openxmlformats.org/drawingml/2006/picture">
                <pic:pic>
                  <pic:nvPicPr>
                    <pic:cNvPr id="0" name="07_follow_recommender.png"/>
                    <pic:cNvPicPr/>
                  </pic:nvPicPr>
                  <pic:blipFill>
                    <a:blip r:embed="rId17"/>
                    <a:stretch>
                      <a:fillRect/>
                    </a:stretch>
                  </pic:blipFill>
                  <pic:spPr>
                    <a:xfrm>
                      <a:off x="0" y="0"/>
                      <a:ext cx="6217920" cy="744771"/>
                    </a:xfrm>
                    <a:prstGeom prst="rect"/>
                  </pic:spPr>
                </pic:pic>
              </a:graphicData>
            </a:graphic>
          </wp:inline>
        </w:drawing>
      </w:r>
    </w:p>
    <w:p>
      <w:pPr>
        <w:jc w:val="center"/>
      </w:pPr>
      <w:r>
        <w:rPr>
          <w:rFonts w:ascii="Inter" w:hAnsi="Inter"/>
          <w:b w:val="0"/>
          <w:i/>
          <w:color w:val="6B7280"/>
          <w:sz w:val="15"/>
        </w:rPr>
        <w:t>Figura 6 — Follow no debe hardcodear nombres de plantillas: envía contexto y NEXT DOC AI recomienda la composición.</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3437"/>
        <w:gridCol w:w="3437"/>
        <w:gridCol w:w="3437"/>
      </w:tblGrid>
      <w:tr>
        <w:trPr>
          <w:tblHeader w:val="true"/>
        </w:trPr>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Campo de contexto</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Ejemplos</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Uso</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scope</w:t>
            </w:r>
          </w:p>
        </w:tc>
        <w:tc>
          <w:tcPr>
            <w:tcW w:type="dxa" w:w="3437"/>
            <w:tcMar>
              <w:top w:w="80" w:type="dxa"/>
              <w:start w:w="90" w:type="dxa"/>
              <w:bottom w:w="80" w:type="dxa"/>
              <w:end w:w="90" w:type="dxa"/>
            </w:tcMar>
            <w:vAlign w:val="top"/>
          </w:tcPr>
          <w:p>
            <w:r>
              <w:rPr>
                <w:rFonts w:ascii="Inter" w:hAnsi="Inter"/>
                <w:b w:val="0"/>
                <w:i w:val="0"/>
                <w:color w:val="0D0F12"/>
                <w:sz w:val="15"/>
              </w:rPr>
              <w:t>Nacional / Internacional</w:t>
            </w:r>
          </w:p>
        </w:tc>
        <w:tc>
          <w:tcPr>
            <w:tcW w:type="dxa" w:w="3437"/>
            <w:tcMar>
              <w:top w:w="80" w:type="dxa"/>
              <w:start w:w="90" w:type="dxa"/>
              <w:bottom w:w="80" w:type="dxa"/>
              <w:end w:w="90" w:type="dxa"/>
            </w:tcMar>
            <w:vAlign w:val="top"/>
          </w:tcPr>
          <w:p>
            <w:r>
              <w:rPr>
                <w:rFonts w:ascii="Inter" w:hAnsi="Inter"/>
                <w:b w:val="0"/>
                <w:i w:val="0"/>
                <w:color w:val="0D0F12"/>
                <w:sz w:val="15"/>
              </w:rPr>
              <w:t>Filtra COMEX y operación.</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direction</w:t>
            </w:r>
          </w:p>
        </w:tc>
        <w:tc>
          <w:tcPr>
            <w:tcW w:type="dxa" w:w="3437"/>
            <w:tcMar>
              <w:top w:w="80" w:type="dxa"/>
              <w:start w:w="90" w:type="dxa"/>
              <w:bottom w:w="80" w:type="dxa"/>
              <w:end w:w="90" w:type="dxa"/>
            </w:tcMar>
            <w:vAlign w:val="top"/>
            <w:shd w:fill="FAFAFB"/>
          </w:tcPr>
          <w:p>
            <w:r>
              <w:rPr>
                <w:rFonts w:ascii="Inter" w:hAnsi="Inter"/>
                <w:b w:val="0"/>
                <w:i w:val="0"/>
                <w:color w:val="0D0F12"/>
                <w:sz w:val="15"/>
              </w:rPr>
              <w:t>Export / Import</w:t>
            </w:r>
          </w:p>
        </w:tc>
        <w:tc>
          <w:tcPr>
            <w:tcW w:type="dxa" w:w="3437"/>
            <w:tcMar>
              <w:top w:w="80" w:type="dxa"/>
              <w:start w:w="90" w:type="dxa"/>
              <w:bottom w:w="80" w:type="dxa"/>
              <w:end w:w="90" w:type="dxa"/>
            </w:tcMar>
            <w:vAlign w:val="top"/>
            <w:shd w:fill="FAFAFB"/>
          </w:tcPr>
          <w:p>
            <w:r>
              <w:rPr>
                <w:rFonts w:ascii="Inter" w:hAnsi="Inter"/>
                <w:b w:val="0"/>
                <w:i w:val="0"/>
                <w:color w:val="0D0F12"/>
                <w:sz w:val="15"/>
              </w:rPr>
              <w:t>Selecciona familia/sentido.</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mode</w:t>
            </w:r>
          </w:p>
        </w:tc>
        <w:tc>
          <w:tcPr>
            <w:tcW w:type="dxa" w:w="3437"/>
            <w:tcMar>
              <w:top w:w="80" w:type="dxa"/>
              <w:start w:w="90" w:type="dxa"/>
              <w:bottom w:w="80" w:type="dxa"/>
              <w:end w:w="90" w:type="dxa"/>
            </w:tcMar>
            <w:vAlign w:val="top"/>
          </w:tcPr>
          <w:p>
            <w:r>
              <w:rPr>
                <w:rFonts w:ascii="Inter" w:hAnsi="Inter"/>
                <w:b w:val="0"/>
                <w:i w:val="0"/>
                <w:color w:val="0D0F12"/>
                <w:sz w:val="15"/>
              </w:rPr>
              <w:t>Road / Sea / Air / Multimodal</w:t>
            </w:r>
          </w:p>
        </w:tc>
        <w:tc>
          <w:tcPr>
            <w:tcW w:type="dxa" w:w="3437"/>
            <w:tcMar>
              <w:top w:w="80" w:type="dxa"/>
              <w:start w:w="90" w:type="dxa"/>
              <w:bottom w:w="80" w:type="dxa"/>
              <w:end w:w="90" w:type="dxa"/>
            </w:tcMar>
            <w:vAlign w:val="top"/>
          </w:tcPr>
          <w:p>
            <w:r>
              <w:rPr>
                <w:rFonts w:ascii="Inter" w:hAnsi="Inter"/>
                <w:b w:val="0"/>
                <w:i w:val="0"/>
                <w:color w:val="0D0F12"/>
                <w:sz w:val="15"/>
              </w:rPr>
              <w:t>Selecciona plantilla base.</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logistic_unit</w:t>
            </w:r>
          </w:p>
        </w:tc>
        <w:tc>
          <w:tcPr>
            <w:tcW w:type="dxa" w:w="3437"/>
            <w:tcMar>
              <w:top w:w="80" w:type="dxa"/>
              <w:start w:w="90" w:type="dxa"/>
              <w:bottom w:w="80" w:type="dxa"/>
              <w:end w:w="90" w:type="dxa"/>
            </w:tcMar>
            <w:vAlign w:val="top"/>
            <w:shd w:fill="FAFAFB"/>
          </w:tcPr>
          <w:p>
            <w:r>
              <w:rPr>
                <w:rFonts w:ascii="Inter" w:hAnsi="Inter"/>
                <w:b w:val="0"/>
                <w:i w:val="0"/>
                <w:color w:val="0D0F12"/>
                <w:sz w:val="15"/>
              </w:rPr>
              <w:t>FTL/LTL, FCL/LCL, contenedor, ULD, pallets, bultos, granel</w:t>
            </w:r>
          </w:p>
        </w:tc>
        <w:tc>
          <w:tcPr>
            <w:tcW w:type="dxa" w:w="3437"/>
            <w:tcMar>
              <w:top w:w="80" w:type="dxa"/>
              <w:start w:w="90" w:type="dxa"/>
              <w:bottom w:w="80" w:type="dxa"/>
              <w:end w:w="90" w:type="dxa"/>
            </w:tcMar>
            <w:vAlign w:val="top"/>
            <w:shd w:fill="FAFAFB"/>
          </w:tcPr>
          <w:p>
            <w:r>
              <w:rPr>
                <w:rFonts w:ascii="Inter" w:hAnsi="Inter"/>
                <w:b w:val="0"/>
                <w:i w:val="0"/>
                <w:color w:val="0D0F12"/>
                <w:sz w:val="15"/>
              </w:rPr>
              <w:t>Selecciona variantes/overlays. Valores base V7.</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cargo_profile</w:t>
            </w:r>
          </w:p>
        </w:tc>
        <w:tc>
          <w:tcPr>
            <w:tcW w:type="dxa" w:w="3437"/>
            <w:tcMar>
              <w:top w:w="80" w:type="dxa"/>
              <w:start w:w="90" w:type="dxa"/>
              <w:bottom w:w="80" w:type="dxa"/>
              <w:end w:w="90" w:type="dxa"/>
            </w:tcMar>
            <w:vAlign w:val="top"/>
          </w:tcPr>
          <w:p>
            <w:r>
              <w:rPr>
                <w:rFonts w:ascii="Inter" w:hAnsi="Inter"/>
                <w:b w:val="0"/>
                <w:i w:val="0"/>
                <w:color w:val="0D0F12"/>
                <w:sz w:val="15"/>
              </w:rPr>
              <w:t>General, reefer, peligrosa, alimentos, sobredimensionada</w:t>
            </w:r>
          </w:p>
        </w:tc>
        <w:tc>
          <w:tcPr>
            <w:tcW w:type="dxa" w:w="3437"/>
            <w:tcMar>
              <w:top w:w="80" w:type="dxa"/>
              <w:start w:w="90" w:type="dxa"/>
              <w:bottom w:w="80" w:type="dxa"/>
              <w:end w:w="90" w:type="dxa"/>
            </w:tcMar>
            <w:vAlign w:val="top"/>
          </w:tcPr>
          <w:p>
            <w:r>
              <w:rPr>
                <w:rFonts w:ascii="Inter" w:hAnsi="Inter"/>
                <w:b w:val="0"/>
                <w:i w:val="0"/>
                <w:color w:val="0D0F12"/>
                <w:sz w:val="15"/>
              </w:rPr>
              <w:t>Agrega documentos/reglas. Valores base V7.</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follow_operation</w:t>
            </w:r>
          </w:p>
        </w:tc>
        <w:tc>
          <w:tcPr>
            <w:tcW w:type="dxa" w:w="3437"/>
            <w:tcMar>
              <w:top w:w="80" w:type="dxa"/>
              <w:start w:w="90" w:type="dxa"/>
              <w:bottom w:w="80" w:type="dxa"/>
              <w:end w:w="90" w:type="dxa"/>
            </w:tcMar>
            <w:vAlign w:val="top"/>
            <w:shd w:fill="FAFAFB"/>
          </w:tcPr>
          <w:p>
            <w:r>
              <w:rPr>
                <w:rFonts w:ascii="Inter" w:hAnsi="Inter"/>
                <w:b w:val="0"/>
                <w:i w:val="0"/>
                <w:color w:val="0D0F12"/>
                <w:sz w:val="15"/>
              </w:rPr>
              <w:t>Pedido→Carga, recolección, POD, contenedor, marketplace, YMS</w:t>
            </w:r>
          </w:p>
        </w:tc>
        <w:tc>
          <w:tcPr>
            <w:tcW w:type="dxa" w:w="3437"/>
            <w:tcMar>
              <w:top w:w="80" w:type="dxa"/>
              <w:start w:w="90" w:type="dxa"/>
              <w:bottom w:w="80" w:type="dxa"/>
              <w:end w:w="90" w:type="dxa"/>
            </w:tcMar>
            <w:vAlign w:val="top"/>
            <w:shd w:fill="FAFAFB"/>
          </w:tcPr>
          <w:p>
            <w:r>
              <w:rPr>
                <w:rFonts w:ascii="Inter" w:hAnsi="Inter"/>
                <w:b w:val="0"/>
                <w:i w:val="0"/>
                <w:color w:val="0D0F12"/>
                <w:sz w:val="15"/>
              </w:rPr>
              <w:t>Invoca subprocesos Follow.</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flags</w:t>
            </w:r>
          </w:p>
        </w:tc>
        <w:tc>
          <w:tcPr>
            <w:tcW w:type="dxa" w:w="3437"/>
            <w:tcMar>
              <w:top w:w="80" w:type="dxa"/>
              <w:start w:w="90" w:type="dxa"/>
              <w:bottom w:w="80" w:type="dxa"/>
              <w:end w:w="90" w:type="dxa"/>
            </w:tcMar>
            <w:vAlign w:val="top"/>
          </w:tcPr>
          <w:p>
            <w:r>
              <w:rPr>
                <w:rFonts w:ascii="Inter" w:hAnsi="Inter"/>
                <w:b w:val="0"/>
                <w:i w:val="0"/>
                <w:color w:val="0D0F12"/>
                <w:sz w:val="15"/>
              </w:rPr>
              <w:t>retorno contenedor, ticket balanza, firma, destinatario, documentación especial</w:t>
            </w:r>
          </w:p>
        </w:tc>
        <w:tc>
          <w:tcPr>
            <w:tcW w:type="dxa" w:w="3437"/>
            <w:tcMar>
              <w:top w:w="80" w:type="dxa"/>
              <w:start w:w="90" w:type="dxa"/>
              <w:bottom w:w="80" w:type="dxa"/>
              <w:end w:w="90" w:type="dxa"/>
            </w:tcMar>
            <w:vAlign w:val="top"/>
          </w:tcPr>
          <w:p>
            <w:r>
              <w:rPr>
                <w:rFonts w:ascii="Inter" w:hAnsi="Inter"/>
                <w:b w:val="0"/>
                <w:i w:val="0"/>
                <w:color w:val="0D0F12"/>
                <w:sz w:val="15"/>
              </w:rPr>
              <w:t>Activa subprocesos.</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subject_ref</w:t>
            </w:r>
          </w:p>
        </w:tc>
        <w:tc>
          <w:tcPr>
            <w:tcW w:type="dxa" w:w="3437"/>
            <w:tcMar>
              <w:top w:w="80" w:type="dxa"/>
              <w:start w:w="90" w:type="dxa"/>
              <w:bottom w:w="80" w:type="dxa"/>
              <w:end w:w="90" w:type="dxa"/>
            </w:tcMar>
            <w:vAlign w:val="top"/>
            <w:shd w:fill="FAFAFB"/>
          </w:tcPr>
          <w:p>
            <w:r>
              <w:rPr>
                <w:rFonts w:ascii="Inter" w:hAnsi="Inter"/>
                <w:b w:val="0"/>
                <w:i w:val="0"/>
                <w:color w:val="0D0F12"/>
                <w:sz w:val="15"/>
              </w:rPr>
              <w:t>tipo + id externo + source</w:t>
            </w:r>
          </w:p>
        </w:tc>
        <w:tc>
          <w:tcPr>
            <w:tcW w:type="dxa" w:w="3437"/>
            <w:tcMar>
              <w:top w:w="80" w:type="dxa"/>
              <w:start w:w="90" w:type="dxa"/>
              <w:bottom w:w="80" w:type="dxa"/>
              <w:end w:w="90" w:type="dxa"/>
            </w:tcMar>
            <w:vAlign w:val="top"/>
            <w:shd w:fill="FAFAFB"/>
          </w:tcPr>
          <w:p>
            <w:r>
              <w:rPr>
                <w:rFonts w:ascii="Inter" w:hAnsi="Inter"/>
                <w:b w:val="0"/>
                <w:i w:val="0"/>
                <w:color w:val="0D0F12"/>
                <w:sz w:val="15"/>
              </w:rPr>
              <w:t>Asocia instancia sin acoplar el core a Follow.</w:t>
            </w:r>
          </w:p>
        </w:tc>
      </w:tr>
    </w:tbl>
    <w:p/>
    <w:p>
      <w:r>
        <w:rPr>
          <w:rFonts w:ascii="Inter" w:hAnsi="Inter"/>
          <w:b w:val="0"/>
          <w:i w:val="0"/>
          <w:color w:val="0D0F12"/>
          <w:sz w:val="18"/>
        </w:rPr>
        <w:t>Nota de alcance: la Base V7 enumera esas unidades/perfiles, pero no contiene un catálogo maestro completo de “tipos de carga Follow” con IDs oficiales. El MVP0 debe consumir los IDs/códigos canónicos de Follow mediante el Connector y mapearlos a estas dimensiones, evitando duplicar un maestro que luego se desincronice.</w:t>
      </w:r>
    </w:p>
    <w:p>
      <w:pPr>
        <w:pStyle w:val="Heading1"/>
      </w:pPr>
      <w:r>
        <w:t>11. Benchmark actualizado y consecuencias de producto</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2577"/>
        <w:gridCol w:w="2577"/>
        <w:gridCol w:w="2577"/>
        <w:gridCol w:w="2577"/>
      </w:tblGrid>
      <w:tr>
        <w:trPr>
          <w:tblHeader w:val="true"/>
        </w:trPr>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Referencia</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Qué comunica públicamente</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Implicación NEXT DOC AI</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Fuente</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DigiX (Argentina)</w:t>
            </w:r>
          </w:p>
        </w:tc>
        <w:tc>
          <w:tcPr>
            <w:tcW w:type="dxa" w:w="2577"/>
            <w:tcMar>
              <w:top w:w="80" w:type="dxa"/>
              <w:start w:w="90" w:type="dxa"/>
              <w:bottom w:w="80" w:type="dxa"/>
              <w:end w:w="90" w:type="dxa"/>
            </w:tcMar>
            <w:vAlign w:val="top"/>
          </w:tcPr>
          <w:p>
            <w:r>
              <w:rPr>
                <w:rFonts w:ascii="Inter" w:hAnsi="Inter"/>
                <w:b w:val="0"/>
                <w:i w:val="0"/>
                <w:color w:val="0D0F12"/>
                <w:sz w:val="15"/>
              </w:rPr>
              <w:t>Captura multicanal; OCR+IA; clasificación/indexación; workflows a medida; usuarios internos/externos con MFA; ERP; remitos/facturas/salud.</w:t>
            </w:r>
          </w:p>
        </w:tc>
        <w:tc>
          <w:tcPr>
            <w:tcW w:type="dxa" w:w="2577"/>
            <w:tcMar>
              <w:top w:w="80" w:type="dxa"/>
              <w:start w:w="90" w:type="dxa"/>
              <w:bottom w:w="80" w:type="dxa"/>
              <w:end w:w="90" w:type="dxa"/>
            </w:tcMar>
            <w:vAlign w:val="top"/>
          </w:tcPr>
          <w:p>
            <w:r>
              <w:rPr>
                <w:rFonts w:ascii="Inter" w:hAnsi="Inter"/>
                <w:b w:val="0"/>
                <w:i w:val="0"/>
                <w:color w:val="0D0F12"/>
                <w:sz w:val="15"/>
              </w:rPr>
              <w:t>NEXT DOC AI no puede presentarse sólo como extractor si pretende competir por automatización documental.</w:t>
            </w:r>
          </w:p>
        </w:tc>
        <w:tc>
          <w:tcPr>
            <w:tcW w:type="dxa" w:w="2577"/>
            <w:tcMar>
              <w:top w:w="80" w:type="dxa"/>
              <w:start w:w="90" w:type="dxa"/>
              <w:bottom w:w="80" w:type="dxa"/>
              <w:end w:w="90" w:type="dxa"/>
            </w:tcMar>
            <w:vAlign w:val="top"/>
          </w:tcPr>
          <w:p>
            <w:r>
              <w:rPr>
                <w:rFonts w:ascii="Inter" w:hAnsi="Inter"/>
                <w:b w:val="0"/>
                <w:i w:val="0"/>
                <w:color w:val="0D0F12"/>
                <w:sz w:val="15"/>
              </w:rPr>
              <w:t>WEB-01</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ABBYY Vantage</w:t>
            </w:r>
          </w:p>
        </w:tc>
        <w:tc>
          <w:tcPr>
            <w:tcW w:type="dxa" w:w="2577"/>
            <w:tcMar>
              <w:top w:w="80" w:type="dxa"/>
              <w:start w:w="90" w:type="dxa"/>
              <w:bottom w:w="80" w:type="dxa"/>
              <w:end w:w="90" w:type="dxa"/>
            </w:tcMar>
            <w:vAlign w:val="top"/>
            <w:shd w:fill="FAFAFB"/>
          </w:tcPr>
          <w:p>
            <w:r>
              <w:rPr>
                <w:rFonts w:ascii="Inter" w:hAnsi="Inter"/>
                <w:b w:val="0"/>
                <w:i w:val="0"/>
                <w:color w:val="0D0F12"/>
                <w:sz w:val="15"/>
              </w:rPr>
              <w:t>Low-code/no-code; 150+ skills/use cases; Skill Designer; marketplace; continuous learning; APIs.</w:t>
            </w:r>
          </w:p>
        </w:tc>
        <w:tc>
          <w:tcPr>
            <w:tcW w:type="dxa" w:w="2577"/>
            <w:tcMar>
              <w:top w:w="80" w:type="dxa"/>
              <w:start w:w="90" w:type="dxa"/>
              <w:bottom w:w="80" w:type="dxa"/>
              <w:end w:w="90" w:type="dxa"/>
            </w:tcMar>
            <w:vAlign w:val="top"/>
            <w:shd w:fill="FAFAFB"/>
          </w:tcPr>
          <w:p>
            <w:r>
              <w:rPr>
                <w:rFonts w:ascii="Inter" w:hAnsi="Inter"/>
                <w:b w:val="0"/>
                <w:i w:val="0"/>
                <w:color w:val="0D0F12"/>
                <w:sz w:val="15"/>
              </w:rPr>
              <w:t>El lifecycle y catálogo de templates/skills debe ser core desde el inicio.</w:t>
            </w:r>
          </w:p>
        </w:tc>
        <w:tc>
          <w:tcPr>
            <w:tcW w:type="dxa" w:w="2577"/>
            <w:tcMar>
              <w:top w:w="80" w:type="dxa"/>
              <w:start w:w="90" w:type="dxa"/>
              <w:bottom w:w="80" w:type="dxa"/>
              <w:end w:w="90" w:type="dxa"/>
            </w:tcMar>
            <w:vAlign w:val="top"/>
            <w:shd w:fill="FAFAFB"/>
          </w:tcPr>
          <w:p>
            <w:r>
              <w:rPr>
                <w:rFonts w:ascii="Inter" w:hAnsi="Inter"/>
                <w:b w:val="0"/>
                <w:i w:val="0"/>
                <w:color w:val="0D0F12"/>
                <w:sz w:val="15"/>
              </w:rPr>
              <w:t>WEB-02</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DocFlow.ai</w:t>
            </w:r>
          </w:p>
        </w:tc>
        <w:tc>
          <w:tcPr>
            <w:tcW w:type="dxa" w:w="2577"/>
            <w:tcMar>
              <w:top w:w="80" w:type="dxa"/>
              <w:start w:w="90" w:type="dxa"/>
              <w:bottom w:w="80" w:type="dxa"/>
              <w:end w:w="90" w:type="dxa"/>
            </w:tcMar>
            <w:vAlign w:val="top"/>
          </w:tcPr>
          <w:p>
            <w:r>
              <w:rPr>
                <w:rFonts w:ascii="Inter" w:hAnsi="Inter"/>
                <w:b w:val="0"/>
                <w:i w:val="0"/>
                <w:color w:val="0D0F12"/>
                <w:sz w:val="15"/>
              </w:rPr>
              <w:t>Workflow, aprobaciones, export automation, change log.</w:t>
            </w:r>
          </w:p>
        </w:tc>
        <w:tc>
          <w:tcPr>
            <w:tcW w:type="dxa" w:w="2577"/>
            <w:tcMar>
              <w:top w:w="80" w:type="dxa"/>
              <w:start w:w="90" w:type="dxa"/>
              <w:bottom w:w="80" w:type="dxa"/>
              <w:end w:w="90" w:type="dxa"/>
            </w:tcMar>
            <w:vAlign w:val="top"/>
          </w:tcPr>
          <w:p>
            <w:r>
              <w:rPr>
                <w:rFonts w:ascii="Inter" w:hAnsi="Inter"/>
                <w:b w:val="0"/>
                <w:i w:val="0"/>
                <w:color w:val="0D0F12"/>
                <w:sz w:val="15"/>
              </w:rPr>
              <w:t>Workflow + trazabilidad son expectativa básica en suites documentales.</w:t>
            </w:r>
          </w:p>
        </w:tc>
        <w:tc>
          <w:tcPr>
            <w:tcW w:type="dxa" w:w="2577"/>
            <w:tcMar>
              <w:top w:w="80" w:type="dxa"/>
              <w:start w:w="90" w:type="dxa"/>
              <w:bottom w:w="80" w:type="dxa"/>
              <w:end w:w="90" w:type="dxa"/>
            </w:tcMar>
            <w:vAlign w:val="top"/>
          </w:tcPr>
          <w:p>
            <w:r>
              <w:rPr>
                <w:rFonts w:ascii="Inter" w:hAnsi="Inter"/>
                <w:b w:val="0"/>
                <w:i w:val="0"/>
                <w:color w:val="0D0F12"/>
                <w:sz w:val="15"/>
              </w:rPr>
              <w:t>WEB-03</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Despapeliza</w:t>
            </w:r>
          </w:p>
        </w:tc>
        <w:tc>
          <w:tcPr>
            <w:tcW w:type="dxa" w:w="2577"/>
            <w:tcMar>
              <w:top w:w="80" w:type="dxa"/>
              <w:start w:w="90" w:type="dxa"/>
              <w:bottom w:w="80" w:type="dxa"/>
              <w:end w:w="90" w:type="dxa"/>
            </w:tcMar>
            <w:vAlign w:val="top"/>
            <w:shd w:fill="FAFAFB"/>
          </w:tcPr>
          <w:p>
            <w:r>
              <w:rPr>
                <w:rFonts w:ascii="Inter" w:hAnsi="Inter"/>
                <w:b w:val="0"/>
                <w:i w:val="0"/>
                <w:color w:val="0D0F12"/>
                <w:sz w:val="15"/>
              </w:rPr>
              <w:t>Templates inteligentes, workflows, firmas, trazabilidad, gobernanza, API.</w:t>
            </w:r>
          </w:p>
        </w:tc>
        <w:tc>
          <w:tcPr>
            <w:tcW w:type="dxa" w:w="2577"/>
            <w:tcMar>
              <w:top w:w="80" w:type="dxa"/>
              <w:start w:w="90" w:type="dxa"/>
              <w:bottom w:w="80" w:type="dxa"/>
              <w:end w:w="90" w:type="dxa"/>
            </w:tcMar>
            <w:vAlign w:val="top"/>
            <w:shd w:fill="FAFAFB"/>
          </w:tcPr>
          <w:p>
            <w:r>
              <w:rPr>
                <w:rFonts w:ascii="Inter" w:hAnsi="Inter"/>
                <w:b w:val="0"/>
                <w:i w:val="0"/>
                <w:color w:val="0D0F12"/>
                <w:sz w:val="15"/>
              </w:rPr>
              <w:t>Gobernanza y firma son extensión natural; firma puede ser adapter en MVP1.</w:t>
            </w:r>
          </w:p>
        </w:tc>
        <w:tc>
          <w:tcPr>
            <w:tcW w:type="dxa" w:w="2577"/>
            <w:tcMar>
              <w:top w:w="80" w:type="dxa"/>
              <w:start w:w="90" w:type="dxa"/>
              <w:bottom w:w="80" w:type="dxa"/>
              <w:end w:w="90" w:type="dxa"/>
            </w:tcMar>
            <w:vAlign w:val="top"/>
            <w:shd w:fill="FAFAFB"/>
          </w:tcPr>
          <w:p>
            <w:r>
              <w:rPr>
                <w:rFonts w:ascii="Inter" w:hAnsi="Inter"/>
                <w:b w:val="0"/>
                <w:i w:val="0"/>
                <w:color w:val="0D0F12"/>
                <w:sz w:val="15"/>
              </w:rPr>
              <w:t>WEB-04</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Rossum</w:t>
            </w:r>
          </w:p>
        </w:tc>
        <w:tc>
          <w:tcPr>
            <w:tcW w:type="dxa" w:w="2577"/>
            <w:tcMar>
              <w:top w:w="80" w:type="dxa"/>
              <w:start w:w="90" w:type="dxa"/>
              <w:bottom w:w="80" w:type="dxa"/>
              <w:end w:w="90" w:type="dxa"/>
            </w:tcMar>
            <w:vAlign w:val="top"/>
          </w:tcPr>
          <w:p>
            <w:r>
              <w:rPr>
                <w:rFonts w:ascii="Inter" w:hAnsi="Inter"/>
                <w:b w:val="0"/>
                <w:i w:val="0"/>
                <w:color w:val="0D0F12"/>
                <w:sz w:val="15"/>
              </w:rPr>
              <w:t>Marketplace/extensiones e integraciones; workflows transaccionales.</w:t>
            </w:r>
          </w:p>
        </w:tc>
        <w:tc>
          <w:tcPr>
            <w:tcW w:type="dxa" w:w="2577"/>
            <w:tcMar>
              <w:top w:w="80" w:type="dxa"/>
              <w:start w:w="90" w:type="dxa"/>
              <w:bottom w:w="80" w:type="dxa"/>
              <w:end w:w="90" w:type="dxa"/>
            </w:tcMar>
            <w:vAlign w:val="top"/>
          </w:tcPr>
          <w:p>
            <w:r>
              <w:rPr>
                <w:rFonts w:ascii="Inter" w:hAnsi="Inter"/>
                <w:b w:val="0"/>
                <w:i w:val="0"/>
                <w:color w:val="0D0F12"/>
                <w:sz w:val="15"/>
              </w:rPr>
              <w:t>Validación externa de una estrategia de ecosistema/partners sin meter todo en el core.</w:t>
            </w:r>
          </w:p>
        </w:tc>
        <w:tc>
          <w:tcPr>
            <w:tcW w:type="dxa" w:w="2577"/>
            <w:tcMar>
              <w:top w:w="80" w:type="dxa"/>
              <w:start w:w="90" w:type="dxa"/>
              <w:bottom w:w="80" w:type="dxa"/>
              <w:end w:w="90" w:type="dxa"/>
            </w:tcMar>
            <w:vAlign w:val="top"/>
          </w:tcPr>
          <w:p>
            <w:r>
              <w:rPr>
                <w:rFonts w:ascii="Inter" w:hAnsi="Inter"/>
                <w:b w:val="0"/>
                <w:i w:val="0"/>
                <w:color w:val="0D0F12"/>
                <w:sz w:val="15"/>
              </w:rPr>
              <w:t>WEB-05</w:t>
            </w:r>
          </w:p>
        </w:tc>
      </w:tr>
    </w:tbl>
    <w:p/>
    <w:p>
      <w:pPr>
        <w:pStyle w:val="Heading1"/>
      </w:pPr>
      <w:r>
        <w:t>12. Backlog priorizado para cerrar MVP0</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2577"/>
        <w:gridCol w:w="2577"/>
        <w:gridCol w:w="2577"/>
        <w:gridCol w:w="2577"/>
      </w:tblGrid>
      <w:tr>
        <w:trPr>
          <w:tblHeader w:val="true"/>
        </w:trPr>
        <w:tc>
          <w:tcPr>
            <w:tcW w:type="dxa" w:w="2577"/>
            <w:shd w:fill="0D0F12"/>
            <w:vAlign w:val="center"/>
            <w:tcMar>
              <w:top w:w="80" w:type="dxa"/>
              <w:start w:w="90" w:type="dxa"/>
              <w:bottom w:w="80" w:type="dxa"/>
              <w:end w:w="90" w:type="dxa"/>
            </w:tcMar>
          </w:tcPr>
          <w:p>
            <w:pPr>
              <w:jc w:val="left"/>
            </w:pPr>
            <w:r>
              <w:rPr>
                <w:rFonts w:ascii="Inter" w:hAnsi="Inter"/>
                <w:b/>
                <w:i w:val="0"/>
                <w:color w:val="FFFFFF"/>
                <w:sz w:val="14"/>
              </w:rPr>
              <w:t>ID</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4"/>
              </w:rPr>
              <w:t>Bloque</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4"/>
              </w:rPr>
              <w:t>Salida</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4"/>
              </w:rPr>
              <w:t>Esfuerzo relativo</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P0-01</w:t>
            </w:r>
          </w:p>
        </w:tc>
        <w:tc>
          <w:tcPr>
            <w:tcW w:type="dxa" w:w="2577"/>
            <w:tcMar>
              <w:top w:w="80" w:type="dxa"/>
              <w:start w:w="90" w:type="dxa"/>
              <w:bottom w:w="80" w:type="dxa"/>
              <w:end w:w="90" w:type="dxa"/>
            </w:tcMar>
            <w:vAlign w:val="top"/>
          </w:tcPr>
          <w:p>
            <w:r>
              <w:rPr>
                <w:rFonts w:ascii="Inter" w:hAnsi="Inter"/>
                <w:b w:val="0"/>
                <w:i w:val="0"/>
                <w:color w:val="0D0F12"/>
                <w:sz w:val="14"/>
              </w:rPr>
              <w:t>Baseline único y nomenclatura</w:t>
            </w:r>
          </w:p>
        </w:tc>
        <w:tc>
          <w:tcPr>
            <w:tcW w:type="dxa" w:w="2577"/>
            <w:tcMar>
              <w:top w:w="80" w:type="dxa"/>
              <w:start w:w="90" w:type="dxa"/>
              <w:bottom w:w="80" w:type="dxa"/>
              <w:end w:w="90" w:type="dxa"/>
            </w:tcMar>
            <w:vAlign w:val="top"/>
          </w:tcPr>
          <w:p>
            <w:r>
              <w:rPr>
                <w:rFonts w:ascii="Inter" w:hAnsi="Inter"/>
                <w:b w:val="0"/>
                <w:i w:val="0"/>
                <w:color w:val="0D0F12"/>
                <w:sz w:val="14"/>
              </w:rPr>
              <w:t>Aprobar MVP0 Comercial y marcar documentos V7 contradictorios como superseded for scope.</w:t>
            </w:r>
          </w:p>
        </w:tc>
        <w:tc>
          <w:tcPr>
            <w:tcW w:type="dxa" w:w="2577"/>
            <w:tcMar>
              <w:top w:w="80" w:type="dxa"/>
              <w:start w:w="90" w:type="dxa"/>
              <w:bottom w:w="80" w:type="dxa"/>
              <w:end w:w="90" w:type="dxa"/>
            </w:tcMar>
            <w:vAlign w:val="top"/>
          </w:tcPr>
          <w:p>
            <w:r>
              <w:rPr>
                <w:rFonts w:ascii="Inter" w:hAnsi="Inter"/>
                <w:b w:val="0"/>
                <w:i w:val="0"/>
                <w:color w:val="0D0F12"/>
                <w:sz w:val="14"/>
              </w:rPr>
              <w:t>S</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P0-02</w:t>
            </w:r>
          </w:p>
        </w:tc>
        <w:tc>
          <w:tcPr>
            <w:tcW w:type="dxa" w:w="2577"/>
            <w:tcMar>
              <w:top w:w="80" w:type="dxa"/>
              <w:start w:w="90" w:type="dxa"/>
              <w:bottom w:w="80" w:type="dxa"/>
              <w:end w:w="90" w:type="dxa"/>
            </w:tcMar>
            <w:vAlign w:val="top"/>
            <w:shd w:fill="FAFAFB"/>
          </w:tcPr>
          <w:p>
            <w:r>
              <w:rPr>
                <w:rFonts w:ascii="Inter" w:hAnsi="Inter"/>
                <w:b w:val="0"/>
                <w:i w:val="0"/>
                <w:color w:val="0D0F12"/>
                <w:sz w:val="14"/>
              </w:rPr>
              <w:t>Cerrar validación actual</w:t>
            </w:r>
          </w:p>
        </w:tc>
        <w:tc>
          <w:tcPr>
            <w:tcW w:type="dxa" w:w="2577"/>
            <w:tcMar>
              <w:top w:w="80" w:type="dxa"/>
              <w:start w:w="90" w:type="dxa"/>
              <w:bottom w:w="80" w:type="dxa"/>
              <w:end w:w="90" w:type="dxa"/>
            </w:tcMar>
            <w:vAlign w:val="top"/>
            <w:shd w:fill="FAFAFB"/>
          </w:tcPr>
          <w:p>
            <w:r>
              <w:rPr>
                <w:rFonts w:ascii="Inter" w:hAnsi="Inter"/>
                <w:b w:val="0"/>
                <w:i w:val="0"/>
                <w:color w:val="0D0F12"/>
                <w:sz w:val="14"/>
              </w:rPr>
              <w:t>Recorrido navegador, captura genérica, secretos, defectos bloqueantes.</w:t>
            </w:r>
          </w:p>
        </w:tc>
        <w:tc>
          <w:tcPr>
            <w:tcW w:type="dxa" w:w="2577"/>
            <w:tcMar>
              <w:top w:w="80" w:type="dxa"/>
              <w:start w:w="90" w:type="dxa"/>
              <w:bottom w:w="80" w:type="dxa"/>
              <w:end w:w="90" w:type="dxa"/>
            </w:tcMar>
            <w:vAlign w:val="top"/>
            <w:shd w:fill="FAFAFB"/>
          </w:tcPr>
          <w:p>
            <w:r>
              <w:rPr>
                <w:rFonts w:ascii="Inter" w:hAnsi="Inter"/>
                <w:b w:val="0"/>
                <w:i w:val="0"/>
                <w:color w:val="0D0F12"/>
                <w:sz w:val="14"/>
              </w:rPr>
              <w:t>S</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P0-03</w:t>
            </w:r>
          </w:p>
        </w:tc>
        <w:tc>
          <w:tcPr>
            <w:tcW w:type="dxa" w:w="2577"/>
            <w:tcMar>
              <w:top w:w="80" w:type="dxa"/>
              <w:start w:w="90" w:type="dxa"/>
              <w:bottom w:w="80" w:type="dxa"/>
              <w:end w:w="90" w:type="dxa"/>
            </w:tcMar>
            <w:vAlign w:val="top"/>
          </w:tcPr>
          <w:p>
            <w:r>
              <w:rPr>
                <w:rFonts w:ascii="Inter" w:hAnsi="Inter"/>
                <w:b w:val="0"/>
                <w:i w:val="0"/>
                <w:color w:val="0D0F12"/>
                <w:sz w:val="14"/>
              </w:rPr>
              <w:t>Workflow Definition + Runtime</w:t>
            </w:r>
          </w:p>
        </w:tc>
        <w:tc>
          <w:tcPr>
            <w:tcW w:type="dxa" w:w="2577"/>
            <w:tcMar>
              <w:top w:w="80" w:type="dxa"/>
              <w:start w:w="90" w:type="dxa"/>
              <w:bottom w:w="80" w:type="dxa"/>
              <w:end w:w="90" w:type="dxa"/>
            </w:tcMar>
            <w:vAlign w:val="top"/>
          </w:tcPr>
          <w:p>
            <w:r>
              <w:rPr>
                <w:rFonts w:ascii="Inter" w:hAnsi="Inter"/>
                <w:b w:val="0"/>
                <w:i w:val="0"/>
                <w:color w:val="0D0F12"/>
                <w:sz w:val="14"/>
              </w:rPr>
              <w:t>Definitions/versions, instances, tasks, timers, decisions, audit.</w:t>
            </w:r>
          </w:p>
        </w:tc>
        <w:tc>
          <w:tcPr>
            <w:tcW w:type="dxa" w:w="2577"/>
            <w:tcMar>
              <w:top w:w="80" w:type="dxa"/>
              <w:start w:w="90" w:type="dxa"/>
              <w:bottom w:w="80" w:type="dxa"/>
              <w:end w:w="90" w:type="dxa"/>
            </w:tcMar>
            <w:vAlign w:val="top"/>
          </w:tcPr>
          <w:p>
            <w:r>
              <w:rPr>
                <w:rFonts w:ascii="Inter" w:hAnsi="Inter"/>
                <w:b w:val="0"/>
                <w:i w:val="0"/>
                <w:color w:val="0D0F12"/>
                <w:sz w:val="14"/>
              </w:rPr>
              <w:t>L</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P0-04</w:t>
            </w:r>
          </w:p>
        </w:tc>
        <w:tc>
          <w:tcPr>
            <w:tcW w:type="dxa" w:w="2577"/>
            <w:tcMar>
              <w:top w:w="80" w:type="dxa"/>
              <w:start w:w="90" w:type="dxa"/>
              <w:bottom w:w="80" w:type="dxa"/>
              <w:end w:w="90" w:type="dxa"/>
            </w:tcMar>
            <w:vAlign w:val="top"/>
            <w:shd w:fill="FAFAFB"/>
          </w:tcPr>
          <w:p>
            <w:r>
              <w:rPr>
                <w:rFonts w:ascii="Inter" w:hAnsi="Inter"/>
                <w:b w:val="0"/>
                <w:i w:val="0"/>
                <w:color w:val="0D0F12"/>
                <w:sz w:val="14"/>
              </w:rPr>
              <w:t>Studio guiado</w:t>
            </w:r>
          </w:p>
        </w:tc>
        <w:tc>
          <w:tcPr>
            <w:tcW w:type="dxa" w:w="2577"/>
            <w:tcMar>
              <w:top w:w="80" w:type="dxa"/>
              <w:start w:w="90" w:type="dxa"/>
              <w:bottom w:w="80" w:type="dxa"/>
              <w:end w:w="90" w:type="dxa"/>
            </w:tcMar>
            <w:vAlign w:val="top"/>
            <w:shd w:fill="FAFAFB"/>
          </w:tcPr>
          <w:p>
            <w:r>
              <w:rPr>
                <w:rFonts w:ascii="Inter" w:hAnsi="Inter"/>
                <w:b w:val="0"/>
                <w:i w:val="0"/>
                <w:color w:val="0D0F12"/>
                <w:sz w:val="14"/>
              </w:rPr>
              <w:t>Crear/duplicar/adaptar/test/publish sin Canvas avanzado.</w:t>
            </w:r>
          </w:p>
        </w:tc>
        <w:tc>
          <w:tcPr>
            <w:tcW w:type="dxa" w:w="2577"/>
            <w:tcMar>
              <w:top w:w="80" w:type="dxa"/>
              <w:start w:w="90" w:type="dxa"/>
              <w:bottom w:w="80" w:type="dxa"/>
              <w:end w:w="90" w:type="dxa"/>
            </w:tcMar>
            <w:vAlign w:val="top"/>
            <w:shd w:fill="FAFAFB"/>
          </w:tcPr>
          <w:p>
            <w:r>
              <w:rPr>
                <w:rFonts w:ascii="Inter" w:hAnsi="Inter"/>
                <w:b w:val="0"/>
                <w:i w:val="0"/>
                <w:color w:val="0D0F12"/>
                <w:sz w:val="14"/>
              </w:rPr>
              <w:t>M/L</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P0-05</w:t>
            </w:r>
          </w:p>
        </w:tc>
        <w:tc>
          <w:tcPr>
            <w:tcW w:type="dxa" w:w="2577"/>
            <w:tcMar>
              <w:top w:w="80" w:type="dxa"/>
              <w:start w:w="90" w:type="dxa"/>
              <w:bottom w:w="80" w:type="dxa"/>
              <w:end w:w="90" w:type="dxa"/>
            </w:tcMar>
            <w:vAlign w:val="top"/>
          </w:tcPr>
          <w:p>
            <w:r>
              <w:rPr>
                <w:rFonts w:ascii="Inter" w:hAnsi="Inter"/>
                <w:b w:val="0"/>
                <w:i w:val="0"/>
                <w:color w:val="0D0F12"/>
                <w:sz w:val="14"/>
              </w:rPr>
              <w:t>External Collaboration</w:t>
            </w:r>
          </w:p>
        </w:tc>
        <w:tc>
          <w:tcPr>
            <w:tcW w:type="dxa" w:w="2577"/>
            <w:tcMar>
              <w:top w:w="80" w:type="dxa"/>
              <w:start w:w="90" w:type="dxa"/>
              <w:bottom w:w="80" w:type="dxa"/>
              <w:end w:w="90" w:type="dxa"/>
            </w:tcMar>
            <w:vAlign w:val="top"/>
          </w:tcPr>
          <w:p>
            <w:r>
              <w:rPr>
                <w:rFonts w:ascii="Inter" w:hAnsi="Inter"/>
                <w:b w:val="0"/>
                <w:i w:val="0"/>
                <w:color w:val="0D0F12"/>
                <w:sz w:val="14"/>
              </w:rPr>
              <w:t>Cuenta externa + Secure Action Link + scoped access.</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P0-06</w:t>
            </w:r>
          </w:p>
        </w:tc>
        <w:tc>
          <w:tcPr>
            <w:tcW w:type="dxa" w:w="2577"/>
            <w:tcMar>
              <w:top w:w="80" w:type="dxa"/>
              <w:start w:w="90" w:type="dxa"/>
              <w:bottom w:w="80" w:type="dxa"/>
              <w:end w:w="90" w:type="dxa"/>
            </w:tcMar>
            <w:vAlign w:val="top"/>
            <w:shd w:fill="FAFAFB"/>
          </w:tcPr>
          <w:p>
            <w:r>
              <w:rPr>
                <w:rFonts w:ascii="Inter" w:hAnsi="Inter"/>
                <w:b w:val="0"/>
                <w:i w:val="0"/>
                <w:color w:val="0D0F12"/>
                <w:sz w:val="14"/>
              </w:rPr>
              <w:t>IA Supervisora v0</w:t>
            </w:r>
          </w:p>
        </w:tc>
        <w:tc>
          <w:tcPr>
            <w:tcW w:type="dxa" w:w="2577"/>
            <w:tcMar>
              <w:top w:w="80" w:type="dxa"/>
              <w:start w:w="90" w:type="dxa"/>
              <w:bottom w:w="80" w:type="dxa"/>
              <w:end w:w="90" w:type="dxa"/>
            </w:tcMar>
            <w:vAlign w:val="top"/>
            <w:shd w:fill="FAFAFB"/>
          </w:tcPr>
          <w:p>
            <w:r>
              <w:rPr>
                <w:rFonts w:ascii="Inter" w:hAnsi="Inter"/>
                <w:b w:val="0"/>
                <w:i w:val="0"/>
                <w:color w:val="0D0F12"/>
                <w:sz w:val="14"/>
              </w:rPr>
              <w:t>Checks configurables + policy actions + cross-doc básico.</w:t>
            </w:r>
          </w:p>
        </w:tc>
        <w:tc>
          <w:tcPr>
            <w:tcW w:type="dxa" w:w="2577"/>
            <w:tcMar>
              <w:top w:w="80" w:type="dxa"/>
              <w:start w:w="90" w:type="dxa"/>
              <w:bottom w:w="80" w:type="dxa"/>
              <w:end w:w="90" w:type="dxa"/>
            </w:tcMar>
            <w:vAlign w:val="top"/>
            <w:shd w:fill="FAFAFB"/>
          </w:tcPr>
          <w:p>
            <w:r>
              <w:rPr>
                <w:rFonts w:ascii="Inter" w:hAnsi="Inter"/>
                <w:b w:val="0"/>
                <w:i w:val="0"/>
                <w:color w:val="0D0F12"/>
                <w:sz w:val="14"/>
              </w:rPr>
              <w:t>M/L</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P0-07</w:t>
            </w:r>
          </w:p>
        </w:tc>
        <w:tc>
          <w:tcPr>
            <w:tcW w:type="dxa" w:w="2577"/>
            <w:tcMar>
              <w:top w:w="80" w:type="dxa"/>
              <w:start w:w="90" w:type="dxa"/>
              <w:bottom w:w="80" w:type="dxa"/>
              <w:end w:w="90" w:type="dxa"/>
            </w:tcMar>
            <w:vAlign w:val="top"/>
          </w:tcPr>
          <w:p>
            <w:r>
              <w:rPr>
                <w:rFonts w:ascii="Inter" w:hAnsi="Inter"/>
                <w:b w:val="0"/>
                <w:i w:val="0"/>
                <w:color w:val="0D0F12"/>
                <w:sz w:val="14"/>
              </w:rPr>
              <w:t>Partner foundation</w:t>
            </w:r>
          </w:p>
        </w:tc>
        <w:tc>
          <w:tcPr>
            <w:tcW w:type="dxa" w:w="2577"/>
            <w:tcMar>
              <w:top w:w="80" w:type="dxa"/>
              <w:start w:w="90" w:type="dxa"/>
              <w:bottom w:w="80" w:type="dxa"/>
              <w:end w:w="90" w:type="dxa"/>
            </w:tcMar>
            <w:vAlign w:val="top"/>
          </w:tcPr>
          <w:p>
            <w:r>
              <w:rPr>
                <w:rFonts w:ascii="Inter" w:hAnsi="Inter"/>
                <w:b w:val="0"/>
                <w:i w:val="0"/>
                <w:color w:val="0D0F12"/>
                <w:sz w:val="14"/>
              </w:rPr>
              <w:t>Partner org, delegated grants, author/publisher scopes.</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P0-08</w:t>
            </w:r>
          </w:p>
        </w:tc>
        <w:tc>
          <w:tcPr>
            <w:tcW w:type="dxa" w:w="2577"/>
            <w:tcMar>
              <w:top w:w="80" w:type="dxa"/>
              <w:start w:w="90" w:type="dxa"/>
              <w:bottom w:w="80" w:type="dxa"/>
              <w:end w:w="90" w:type="dxa"/>
            </w:tcMar>
            <w:vAlign w:val="top"/>
            <w:shd w:fill="FAFAFB"/>
          </w:tcPr>
          <w:p>
            <w:r>
              <w:rPr>
                <w:rFonts w:ascii="Inter" w:hAnsi="Inter"/>
                <w:b w:val="0"/>
                <w:i w:val="0"/>
                <w:color w:val="0D0F12"/>
                <w:sz w:val="14"/>
              </w:rPr>
              <w:t>Template marketplace-ready</w:t>
            </w:r>
          </w:p>
        </w:tc>
        <w:tc>
          <w:tcPr>
            <w:tcW w:type="dxa" w:w="2577"/>
            <w:tcMar>
              <w:top w:w="80" w:type="dxa"/>
              <w:start w:w="90" w:type="dxa"/>
              <w:bottom w:w="80" w:type="dxa"/>
              <w:end w:w="90" w:type="dxa"/>
            </w:tcMar>
            <w:vAlign w:val="top"/>
            <w:shd w:fill="FAFAFB"/>
          </w:tcPr>
          <w:p>
            <w:r>
              <w:rPr>
                <w:rFonts w:ascii="Inter" w:hAnsi="Inter"/>
                <w:b w:val="0"/>
                <w:i w:val="0"/>
                <w:color w:val="0D0F12"/>
                <w:sz w:val="14"/>
              </w:rPr>
              <w:t>Ownership, provenance, fork/overlay, install, visibility, listing status.</w:t>
            </w:r>
          </w:p>
        </w:tc>
        <w:tc>
          <w:tcPr>
            <w:tcW w:type="dxa" w:w="2577"/>
            <w:tcMar>
              <w:top w:w="80" w:type="dxa"/>
              <w:start w:w="90" w:type="dxa"/>
              <w:bottom w:w="80" w:type="dxa"/>
              <w:end w:w="90" w:type="dxa"/>
            </w:tcMar>
            <w:vAlign w:val="top"/>
            <w:shd w:fill="FAFAFB"/>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P0-09</w:t>
            </w:r>
          </w:p>
        </w:tc>
        <w:tc>
          <w:tcPr>
            <w:tcW w:type="dxa" w:w="2577"/>
            <w:tcMar>
              <w:top w:w="80" w:type="dxa"/>
              <w:start w:w="90" w:type="dxa"/>
              <w:bottom w:w="80" w:type="dxa"/>
              <w:end w:w="90" w:type="dxa"/>
            </w:tcMar>
            <w:vAlign w:val="top"/>
          </w:tcPr>
          <w:p>
            <w:r>
              <w:rPr>
                <w:rFonts w:ascii="Inter" w:hAnsi="Inter"/>
                <w:b w:val="0"/>
                <w:i w:val="0"/>
                <w:color w:val="0D0F12"/>
                <w:sz w:val="14"/>
              </w:rPr>
              <w:t>COMEX library</w:t>
            </w:r>
          </w:p>
        </w:tc>
        <w:tc>
          <w:tcPr>
            <w:tcW w:type="dxa" w:w="2577"/>
            <w:tcMar>
              <w:top w:w="80" w:type="dxa"/>
              <w:start w:w="90" w:type="dxa"/>
              <w:bottom w:w="80" w:type="dxa"/>
              <w:end w:w="90" w:type="dxa"/>
            </w:tcMar>
            <w:vAlign w:val="top"/>
          </w:tcPr>
          <w:p>
            <w:r>
              <w:rPr>
                <w:rFonts w:ascii="Inter" w:hAnsi="Inter"/>
                <w:b w:val="0"/>
                <w:i w:val="0"/>
                <w:color w:val="0D0F12"/>
                <w:sz w:val="14"/>
              </w:rPr>
              <w:t>10 V7 + 4 multimodal + overlays + fixtures + role maps.</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P0-10</w:t>
            </w:r>
          </w:p>
        </w:tc>
        <w:tc>
          <w:tcPr>
            <w:tcW w:type="dxa" w:w="2577"/>
            <w:tcMar>
              <w:top w:w="80" w:type="dxa"/>
              <w:start w:w="90" w:type="dxa"/>
              <w:bottom w:w="80" w:type="dxa"/>
              <w:end w:w="90" w:type="dxa"/>
            </w:tcMar>
            <w:vAlign w:val="top"/>
            <w:shd w:fill="FAFAFB"/>
          </w:tcPr>
          <w:p>
            <w:r>
              <w:rPr>
                <w:rFonts w:ascii="Inter" w:hAnsi="Inter"/>
                <w:b w:val="0"/>
                <w:i w:val="0"/>
                <w:color w:val="0D0F12"/>
                <w:sz w:val="14"/>
              </w:rPr>
              <w:t>Follow Context/Template Recommender</w:t>
            </w:r>
          </w:p>
        </w:tc>
        <w:tc>
          <w:tcPr>
            <w:tcW w:type="dxa" w:w="2577"/>
            <w:tcMar>
              <w:top w:w="80" w:type="dxa"/>
              <w:start w:w="90" w:type="dxa"/>
              <w:bottom w:w="80" w:type="dxa"/>
              <w:end w:w="90" w:type="dxa"/>
            </w:tcMar>
            <w:vAlign w:val="top"/>
            <w:shd w:fill="FAFAFB"/>
          </w:tcPr>
          <w:p>
            <w:r>
              <w:rPr>
                <w:rFonts w:ascii="Inter" w:hAnsi="Inter"/>
                <w:b w:val="0"/>
                <w:i w:val="0"/>
                <w:color w:val="0D0F12"/>
                <w:sz w:val="14"/>
              </w:rPr>
              <w:t>Contrato canónico, mapping cargo, subject_ref, deep links.</w:t>
            </w:r>
          </w:p>
        </w:tc>
        <w:tc>
          <w:tcPr>
            <w:tcW w:type="dxa" w:w="2577"/>
            <w:tcMar>
              <w:top w:w="80" w:type="dxa"/>
              <w:start w:w="90" w:type="dxa"/>
              <w:bottom w:w="80" w:type="dxa"/>
              <w:end w:w="90" w:type="dxa"/>
            </w:tcMar>
            <w:vAlign w:val="top"/>
            <w:shd w:fill="FAFAFB"/>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P0-11</w:t>
            </w:r>
          </w:p>
        </w:tc>
        <w:tc>
          <w:tcPr>
            <w:tcW w:type="dxa" w:w="2577"/>
            <w:tcMar>
              <w:top w:w="80" w:type="dxa"/>
              <w:start w:w="90" w:type="dxa"/>
              <w:bottom w:w="80" w:type="dxa"/>
              <w:end w:w="90" w:type="dxa"/>
            </w:tcMar>
            <w:vAlign w:val="top"/>
          </w:tcPr>
          <w:p>
            <w:r>
              <w:rPr>
                <w:rFonts w:ascii="Inter" w:hAnsi="Inter"/>
                <w:b w:val="0"/>
                <w:i w:val="0"/>
                <w:color w:val="0D0F12"/>
                <w:sz w:val="14"/>
              </w:rPr>
              <w:t>E2E y seguridad</w:t>
            </w:r>
          </w:p>
        </w:tc>
        <w:tc>
          <w:tcPr>
            <w:tcW w:type="dxa" w:w="2577"/>
            <w:tcMar>
              <w:top w:w="80" w:type="dxa"/>
              <w:start w:w="90" w:type="dxa"/>
              <w:bottom w:w="80" w:type="dxa"/>
              <w:end w:w="90" w:type="dxa"/>
            </w:tcMar>
            <w:vAlign w:val="top"/>
          </w:tcPr>
          <w:p>
            <w:r>
              <w:rPr>
                <w:rFonts w:ascii="Inter" w:hAnsi="Inter"/>
                <w:b w:val="0"/>
                <w:i w:val="0"/>
                <w:color w:val="0D0F12"/>
                <w:sz w:val="14"/>
              </w:rPr>
              <w:t>Playwright, cross-tenant, external link, publish versioning.</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P0-12</w:t>
            </w:r>
          </w:p>
        </w:tc>
        <w:tc>
          <w:tcPr>
            <w:tcW w:type="dxa" w:w="2577"/>
            <w:tcMar>
              <w:top w:w="80" w:type="dxa"/>
              <w:start w:w="90" w:type="dxa"/>
              <w:bottom w:w="80" w:type="dxa"/>
              <w:end w:w="90" w:type="dxa"/>
            </w:tcMar>
            <w:vAlign w:val="top"/>
            <w:shd w:fill="FAFAFB"/>
          </w:tcPr>
          <w:p>
            <w:r>
              <w:rPr>
                <w:rFonts w:ascii="Inter" w:hAnsi="Inter"/>
                <w:b w:val="0"/>
                <w:i w:val="0"/>
                <w:color w:val="0D0F12"/>
                <w:sz w:val="14"/>
              </w:rPr>
              <w:t>Dataset real</w:t>
            </w:r>
          </w:p>
        </w:tc>
        <w:tc>
          <w:tcPr>
            <w:tcW w:type="dxa" w:w="2577"/>
            <w:tcMar>
              <w:top w:w="80" w:type="dxa"/>
              <w:start w:w="90" w:type="dxa"/>
              <w:bottom w:w="80" w:type="dxa"/>
              <w:end w:w="90" w:type="dxa"/>
            </w:tcMar>
            <w:vAlign w:val="top"/>
            <w:shd w:fill="FAFAFB"/>
          </w:tcPr>
          <w:p>
            <w:r>
              <w:rPr>
                <w:rFonts w:ascii="Inter" w:hAnsi="Inter"/>
                <w:b w:val="0"/>
                <w:i w:val="0"/>
                <w:color w:val="0D0F12"/>
                <w:sz w:val="14"/>
              </w:rPr>
              <w:t>Piloto COMEX + docs variados; gold fields y reglas.</w:t>
            </w:r>
          </w:p>
        </w:tc>
        <w:tc>
          <w:tcPr>
            <w:tcW w:type="dxa" w:w="2577"/>
            <w:tcMar>
              <w:top w:w="80" w:type="dxa"/>
              <w:start w:w="90" w:type="dxa"/>
              <w:bottom w:w="80" w:type="dxa"/>
              <w:end w:w="90" w:type="dxa"/>
            </w:tcMar>
            <w:vAlign w:val="top"/>
            <w:shd w:fill="FAFAFB"/>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P0-13</w:t>
            </w:r>
          </w:p>
        </w:tc>
        <w:tc>
          <w:tcPr>
            <w:tcW w:type="dxa" w:w="2577"/>
            <w:tcMar>
              <w:top w:w="80" w:type="dxa"/>
              <w:start w:w="90" w:type="dxa"/>
              <w:bottom w:w="80" w:type="dxa"/>
              <w:end w:w="90" w:type="dxa"/>
            </w:tcMar>
            <w:vAlign w:val="top"/>
          </w:tcPr>
          <w:p>
            <w:r>
              <w:rPr>
                <w:rFonts w:ascii="Inter" w:hAnsi="Inter"/>
                <w:b w:val="0"/>
                <w:i w:val="0"/>
                <w:color w:val="0D0F12"/>
                <w:sz w:val="14"/>
              </w:rPr>
              <w:t>Load/operations</w:t>
            </w:r>
          </w:p>
        </w:tc>
        <w:tc>
          <w:tcPr>
            <w:tcW w:type="dxa" w:w="2577"/>
            <w:tcMar>
              <w:top w:w="80" w:type="dxa"/>
              <w:start w:w="90" w:type="dxa"/>
              <w:bottom w:w="80" w:type="dxa"/>
              <w:end w:w="90" w:type="dxa"/>
            </w:tcMar>
            <w:vAlign w:val="top"/>
          </w:tcPr>
          <w:p>
            <w:r>
              <w:rPr>
                <w:rFonts w:ascii="Inter" w:hAnsi="Inter"/>
                <w:b w:val="0"/>
                <w:i w:val="0"/>
                <w:color w:val="0D0F12"/>
                <w:sz w:val="14"/>
              </w:rPr>
              <w:t>Throughput/p95, queue, cost/doc, backup-restore, monitoring/runbook.</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P1-01</w:t>
            </w:r>
          </w:p>
        </w:tc>
        <w:tc>
          <w:tcPr>
            <w:tcW w:type="dxa" w:w="2577"/>
            <w:tcMar>
              <w:top w:w="80" w:type="dxa"/>
              <w:start w:w="90" w:type="dxa"/>
              <w:bottom w:w="80" w:type="dxa"/>
              <w:end w:w="90" w:type="dxa"/>
            </w:tcMar>
            <w:vAlign w:val="top"/>
            <w:shd w:fill="FAFAFB"/>
          </w:tcPr>
          <w:p>
            <w:r>
              <w:rPr>
                <w:rFonts w:ascii="Inter" w:hAnsi="Inter"/>
                <w:b w:val="0"/>
                <w:i w:val="0"/>
                <w:color w:val="0D0F12"/>
                <w:sz w:val="14"/>
              </w:rPr>
              <w:t>Email process intake</w:t>
            </w:r>
          </w:p>
        </w:tc>
        <w:tc>
          <w:tcPr>
            <w:tcW w:type="dxa" w:w="2577"/>
            <w:tcMar>
              <w:top w:w="80" w:type="dxa"/>
              <w:start w:w="90" w:type="dxa"/>
              <w:bottom w:w="80" w:type="dxa"/>
              <w:end w:w="90" w:type="dxa"/>
            </w:tcMar>
            <w:vAlign w:val="top"/>
            <w:shd w:fill="FAFAFB"/>
          </w:tcPr>
          <w:p>
            <w:r>
              <w:rPr>
                <w:rFonts w:ascii="Inter" w:hAnsi="Inter"/>
                <w:b w:val="0"/>
                <w:i w:val="0"/>
                <w:color w:val="0D0F12"/>
                <w:sz w:val="14"/>
              </w:rPr>
              <w:t>Reactivar alias dedicado y routing por tenant/proceso.</w:t>
            </w:r>
          </w:p>
        </w:tc>
        <w:tc>
          <w:tcPr>
            <w:tcW w:type="dxa" w:w="2577"/>
            <w:tcMar>
              <w:top w:w="80" w:type="dxa"/>
              <w:start w:w="90" w:type="dxa"/>
              <w:bottom w:w="80" w:type="dxa"/>
              <w:end w:w="90" w:type="dxa"/>
            </w:tcMar>
            <w:vAlign w:val="top"/>
            <w:shd w:fill="FAFAFB"/>
          </w:tcPr>
          <w:p>
            <w:r>
              <w:rPr>
                <w:rFonts w:ascii="Inter" w:hAnsi="Inter"/>
                <w:b w:val="0"/>
                <w:i w:val="0"/>
                <w:color w:val="0D0F12"/>
                <w:sz w:val="14"/>
              </w:rPr>
              <w:t>S/M</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4"/>
              </w:rPr>
              <w:t>P1-02</w:t>
            </w:r>
          </w:p>
        </w:tc>
        <w:tc>
          <w:tcPr>
            <w:tcW w:type="dxa" w:w="2577"/>
            <w:tcMar>
              <w:top w:w="80" w:type="dxa"/>
              <w:start w:w="90" w:type="dxa"/>
              <w:bottom w:w="80" w:type="dxa"/>
              <w:end w:w="90" w:type="dxa"/>
            </w:tcMar>
            <w:vAlign w:val="top"/>
          </w:tcPr>
          <w:p>
            <w:r>
              <w:rPr>
                <w:rFonts w:ascii="Inter" w:hAnsi="Inter"/>
                <w:b w:val="0"/>
                <w:i w:val="0"/>
                <w:color w:val="0D0F12"/>
                <w:sz w:val="14"/>
              </w:rPr>
              <w:t>Firma por adapter</w:t>
            </w:r>
          </w:p>
        </w:tc>
        <w:tc>
          <w:tcPr>
            <w:tcW w:type="dxa" w:w="2577"/>
            <w:tcMar>
              <w:top w:w="80" w:type="dxa"/>
              <w:start w:w="90" w:type="dxa"/>
              <w:bottom w:w="80" w:type="dxa"/>
              <w:end w:w="90" w:type="dxa"/>
            </w:tcMar>
            <w:vAlign w:val="top"/>
          </w:tcPr>
          <w:p>
            <w:r>
              <w:rPr>
                <w:rFonts w:ascii="Inter" w:hAnsi="Inter"/>
                <w:b w:val="0"/>
                <w:i w:val="0"/>
                <w:color w:val="0D0F12"/>
                <w:sz w:val="14"/>
              </w:rPr>
              <w:t>Legale/Docusign/otro, sin acoplar core.</w:t>
            </w:r>
          </w:p>
        </w:tc>
        <w:tc>
          <w:tcPr>
            <w:tcW w:type="dxa" w:w="2577"/>
            <w:tcMar>
              <w:top w:w="80" w:type="dxa"/>
              <w:start w:w="90" w:type="dxa"/>
              <w:bottom w:w="80" w:type="dxa"/>
              <w:end w:w="90" w:type="dxa"/>
            </w:tcMar>
            <w:vAlign w:val="top"/>
          </w:tcPr>
          <w:p>
            <w:r>
              <w:rPr>
                <w:rFonts w:ascii="Inter" w:hAnsi="Inter"/>
                <w:b w:val="0"/>
                <w:i w:val="0"/>
                <w:color w:val="0D0F12"/>
                <w:sz w:val="14"/>
              </w:rPr>
              <w:t>M</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4"/>
              </w:rPr>
              <w:t>P1-03</w:t>
            </w:r>
          </w:p>
        </w:tc>
        <w:tc>
          <w:tcPr>
            <w:tcW w:type="dxa" w:w="2577"/>
            <w:tcMar>
              <w:top w:w="80" w:type="dxa"/>
              <w:start w:w="90" w:type="dxa"/>
              <w:bottom w:w="80" w:type="dxa"/>
              <w:end w:w="90" w:type="dxa"/>
            </w:tcMar>
            <w:vAlign w:val="top"/>
            <w:shd w:fill="FAFAFB"/>
          </w:tcPr>
          <w:p>
            <w:r>
              <w:rPr>
                <w:rFonts w:ascii="Inter" w:hAnsi="Inter"/>
                <w:b w:val="0"/>
                <w:i w:val="0"/>
                <w:color w:val="0D0F12"/>
                <w:sz w:val="14"/>
              </w:rPr>
              <w:t>Canvas avanzado</w:t>
            </w:r>
          </w:p>
        </w:tc>
        <w:tc>
          <w:tcPr>
            <w:tcW w:type="dxa" w:w="2577"/>
            <w:tcMar>
              <w:top w:w="80" w:type="dxa"/>
              <w:start w:w="90" w:type="dxa"/>
              <w:bottom w:w="80" w:type="dxa"/>
              <w:end w:w="90" w:type="dxa"/>
            </w:tcMar>
            <w:vAlign w:val="top"/>
            <w:shd w:fill="FAFAFB"/>
          </w:tcPr>
          <w:p>
            <w:r>
              <w:rPr>
                <w:rFonts w:ascii="Inter" w:hAnsi="Inter"/>
                <w:b w:val="0"/>
                <w:i w:val="0"/>
                <w:color w:val="0D0F12"/>
                <w:sz w:val="14"/>
              </w:rPr>
              <w:t>Grafo visual sobre el mismo schema del Studio guiado.</w:t>
            </w:r>
          </w:p>
        </w:tc>
        <w:tc>
          <w:tcPr>
            <w:tcW w:type="dxa" w:w="2577"/>
            <w:tcMar>
              <w:top w:w="80" w:type="dxa"/>
              <w:start w:w="90" w:type="dxa"/>
              <w:bottom w:w="80" w:type="dxa"/>
              <w:end w:w="90" w:type="dxa"/>
            </w:tcMar>
            <w:vAlign w:val="top"/>
            <w:shd w:fill="FAFAFB"/>
          </w:tcPr>
          <w:p>
            <w:r>
              <w:rPr>
                <w:rFonts w:ascii="Inter" w:hAnsi="Inter"/>
                <w:b w:val="0"/>
                <w:i w:val="0"/>
                <w:color w:val="0D0F12"/>
                <w:sz w:val="14"/>
              </w:rPr>
              <w:t>L</w:t>
            </w:r>
          </w:p>
        </w:tc>
      </w:tr>
    </w:tbl>
    <w:p/>
    <w:p>
      <w:pPr>
        <w:pStyle w:val="Heading1"/>
      </w:pPr>
      <w:r>
        <w:t>13. Criterios de salida del MVP0 Comercial</w:t>
      </w:r>
    </w:p>
    <w:p>
      <w:pPr>
        <w:pStyle w:val="ListBullet"/>
      </w:pPr>
      <w:r>
        <w:rPr>
          <w:rFonts w:ascii="Inter" w:hAnsi="Inter"/>
          <w:b w:val="0"/>
          <w:i w:val="0"/>
          <w:color w:val="0D0F12"/>
          <w:sz w:val="18"/>
        </w:rPr>
        <w:t>Un tenant nuevo puede operar standalone sin Follow: crear usuarios, subir documentos y ejecutar una plantilla de proceso.</w:t>
      </w:r>
    </w:p>
    <w:p>
      <w:pPr>
        <w:pStyle w:val="ListBullet"/>
      </w:pPr>
      <w:r>
        <w:rPr>
          <w:rFonts w:ascii="Inter" w:hAnsi="Inter"/>
          <w:b w:val="0"/>
          <w:i w:val="0"/>
          <w:color w:val="0D0F12"/>
          <w:sz w:val="18"/>
        </w:rPr>
        <w:t>Un Process Admin puede duplicar una plantilla, cambiar responsables/documentos/SLA/controles, probarla y publicar una nueva versión sin soporte de desarrollo.</w:t>
      </w:r>
    </w:p>
    <w:p>
      <w:pPr>
        <w:pStyle w:val="ListBullet"/>
      </w:pPr>
      <w:r>
        <w:rPr>
          <w:rFonts w:ascii="Inter" w:hAnsi="Inter"/>
          <w:b w:val="0"/>
          <w:i w:val="0"/>
          <w:color w:val="0D0F12"/>
          <w:sz w:val="18"/>
        </w:rPr>
        <w:t>Una instancia iniciada en v1 continúa en v1 aunque se publique v2; migración sólo explícita.</w:t>
      </w:r>
    </w:p>
    <w:p>
      <w:pPr>
        <w:pStyle w:val="ListBullet"/>
      </w:pPr>
      <w:r>
        <w:rPr>
          <w:rFonts w:ascii="Inter" w:hAnsi="Inter"/>
          <w:b w:val="0"/>
          <w:i w:val="0"/>
          <w:color w:val="0D0F12"/>
          <w:sz w:val="18"/>
        </w:rPr>
        <w:t>Un tercero puede completar una tarea por cuenta limitada o Secure Action Link sin acceder a otro recurso/tenant.</w:t>
      </w:r>
    </w:p>
    <w:p>
      <w:pPr>
        <w:pStyle w:val="ListBullet"/>
      </w:pPr>
      <w:r>
        <w:rPr>
          <w:rFonts w:ascii="Inter" w:hAnsi="Inter"/>
          <w:b w:val="0"/>
          <w:i w:val="0"/>
          <w:color w:val="0D0F12"/>
          <w:sz w:val="18"/>
        </w:rPr>
        <w:t>La IA Supervisora detecta al menos: documento faltante, baja confianza, inconsistencia cross-doc configurada y SLA vencido; crea acción auditada.</w:t>
      </w:r>
    </w:p>
    <w:p>
      <w:pPr>
        <w:pStyle w:val="ListBullet"/>
      </w:pPr>
      <w:r>
        <w:rPr>
          <w:rFonts w:ascii="Inter" w:hAnsi="Inter"/>
          <w:b w:val="0"/>
          <w:i w:val="0"/>
          <w:color w:val="0D0F12"/>
          <w:sz w:val="18"/>
        </w:rPr>
        <w:t>Un partner con delegación explícita puede configurar plantillas en un cliente sin visibilidad transversal sobre otros clientes.</w:t>
      </w:r>
    </w:p>
    <w:p>
      <w:pPr>
        <w:pStyle w:val="ListBullet"/>
      </w:pPr>
      <w:r>
        <w:rPr>
          <w:rFonts w:ascii="Inter" w:hAnsi="Inter"/>
          <w:b w:val="0"/>
          <w:i w:val="0"/>
          <w:color w:val="0D0F12"/>
          <w:sz w:val="18"/>
        </w:rPr>
        <w:t>Una plantilla conserva autor, owner, provenance, versión e instalación; un fork del cliente no altera el original del partner.</w:t>
      </w:r>
    </w:p>
    <w:p>
      <w:pPr>
        <w:pStyle w:val="ListBullet"/>
      </w:pPr>
      <w:r>
        <w:rPr>
          <w:rFonts w:ascii="Inter" w:hAnsi="Inter"/>
          <w:b w:val="0"/>
          <w:i w:val="0"/>
          <w:color w:val="0D0F12"/>
          <w:sz w:val="18"/>
        </w:rPr>
        <w:t>Las 14 plantillas COMEX base pasan validación estructural y tienen fixtures/dataset de prueba; overlays se componen sin duplicar lógica.</w:t>
      </w:r>
    </w:p>
    <w:p>
      <w:pPr>
        <w:pStyle w:val="ListBullet"/>
      </w:pPr>
      <w:r>
        <w:rPr>
          <w:rFonts w:ascii="Inter" w:hAnsi="Inter"/>
          <w:b w:val="0"/>
          <w:i w:val="0"/>
          <w:color w:val="0D0F12"/>
          <w:sz w:val="18"/>
        </w:rPr>
        <w:t>Follow puede solicitar recomendación por contexto y activar una instancia sin hardcodear un nombre de plantilla.</w:t>
      </w:r>
    </w:p>
    <w:p>
      <w:pPr>
        <w:pStyle w:val="ListBullet"/>
      </w:pPr>
      <w:r>
        <w:rPr>
          <w:rFonts w:ascii="Inter" w:hAnsi="Inter"/>
          <w:b w:val="0"/>
          <w:i w:val="0"/>
          <w:color w:val="0D0F12"/>
          <w:sz w:val="18"/>
        </w:rPr>
        <w:t>Playwright cubre los recorridos críticos; pruebas cross-tenant/secure link/publicación forman parte de CI.</w:t>
      </w:r>
    </w:p>
    <w:p>
      <w:pPr>
        <w:pStyle w:val="ListBullet"/>
      </w:pPr>
      <w:r>
        <w:rPr>
          <w:rFonts w:ascii="Inter" w:hAnsi="Inter"/>
          <w:b w:val="0"/>
          <w:i w:val="0"/>
          <w:color w:val="0D0F12"/>
          <w:sz w:val="18"/>
        </w:rPr>
        <w:t>Existe baseline de rendimiento y costo por documento/proceso; backup/restore y observabilidad están probados.</w:t>
      </w:r>
    </w:p>
    <w:p>
      <w:pPr>
        <w:pStyle w:val="ListBullet"/>
      </w:pPr>
      <w:r>
        <w:rPr>
          <w:rFonts w:ascii="Inter" w:hAnsi="Inter"/>
          <w:b w:val="0"/>
          <w:i w:val="0"/>
          <w:color w:val="0D0F12"/>
          <w:sz w:val="18"/>
        </w:rPr>
        <w:t>Datos reales de piloto producen salidas útiles o excepciones accionables; secretos de desarrollo están rotados.</w:t>
      </w:r>
    </w:p>
    <w:tbl>
      <w:tblPr>
        <w:tblW w:type="auto" w:w="0"/>
        <w:jc w:val="center"/>
        <w:tblLook w:firstColumn="1" w:firstRow="1" w:lastColumn="0" w:lastRow="0" w:noHBand="0" w:noVBand="1" w:val="04A0"/>
      </w:tblPr>
      <w:tblGrid>
        <w:gridCol w:w="10310"/>
      </w:tblGrid>
      <w:tr>
        <w:tc>
          <w:tcPr>
            <w:tcW w:type="dxa" w:w="10310"/>
            <w:shd w:fill="FFF8E8"/>
            <w:tcMar>
              <w:top w:w="140" w:type="dxa"/>
              <w:start w:w="160" w:type="dxa"/>
              <w:bottom w:w="140" w:type="dxa"/>
              <w:end w:w="160" w:type="dxa"/>
            </w:tcMar>
          </w:tcPr>
          <w:p>
            <w:r>
              <w:rPr>
                <w:rFonts w:ascii="Inter" w:hAnsi="Inter"/>
                <w:b/>
                <w:i w:val="0"/>
                <w:color w:val="D28B00"/>
                <w:sz w:val="18"/>
              </w:rPr>
              <w:t xml:space="preserve">Cambio sobre el criterio actual — </w:t>
            </w:r>
            <w:r>
              <w:rPr>
                <w:rFonts w:ascii="Inter" w:hAnsi="Inter"/>
                <w:b w:val="0"/>
                <w:i w:val="0"/>
                <w:color w:val="0D0F12"/>
                <w:sz w:val="18"/>
              </w:rPr>
              <w:t>Los 10–15 documentos reales sugeridos en el Estado MVP0 son suficientes para una primera demo, pero no para certificar el producto como base comercial. Para salida comercial se recomienda un corpus gold más amplio, con variantes por tipo/documento y casos negativos, y métricas de exactitud/exception rate por plantilla.</w:t>
            </w:r>
          </w:p>
        </w:tc>
      </w:tr>
    </w:tbl>
    <w:p/>
    <w:p>
      <w:pPr>
        <w:pStyle w:val="Heading1"/>
      </w:pPr>
      <w:r>
        <w:t>14. Roadmap reestructurado</w:t>
      </w:r>
    </w:p>
    <w:p>
      <w:pPr>
        <w:jc w:val="center"/>
      </w:pPr>
      <w:r>
        <w:drawing>
          <wp:inline xmlns:a="http://schemas.openxmlformats.org/drawingml/2006/main" xmlns:pic="http://schemas.openxmlformats.org/drawingml/2006/picture">
            <wp:extent cx="6217920" cy="366603"/>
            <wp:docPr id="8" name="Picture 8"/>
            <wp:cNvGraphicFramePr>
              <a:graphicFrameLocks noChangeAspect="1"/>
            </wp:cNvGraphicFramePr>
            <a:graphic>
              <a:graphicData uri="http://schemas.openxmlformats.org/drawingml/2006/picture">
                <pic:pic>
                  <pic:nvPicPr>
                    <pic:cNvPr id="0" name="06_roadmap.png"/>
                    <pic:cNvPicPr/>
                  </pic:nvPicPr>
                  <pic:blipFill>
                    <a:blip r:embed="rId18"/>
                    <a:stretch>
                      <a:fillRect/>
                    </a:stretch>
                  </pic:blipFill>
                  <pic:spPr>
                    <a:xfrm>
                      <a:off x="0" y="0"/>
                      <a:ext cx="6217920" cy="366603"/>
                    </a:xfrm>
                    <a:prstGeom prst="rect"/>
                  </pic:spPr>
                </pic:pic>
              </a:graphicData>
            </a:graphic>
          </wp:inline>
        </w:drawing>
      </w:r>
    </w:p>
    <w:p>
      <w:pPr>
        <w:jc w:val="center"/>
      </w:pPr>
      <w:r>
        <w:rPr>
          <w:rFonts w:ascii="Inter" w:hAnsi="Inter"/>
          <w:b w:val="0"/>
          <w:i/>
          <w:color w:val="6B7280"/>
          <w:sz w:val="15"/>
        </w:rPr>
        <w:t>Figura 7 — Roadmap recomendado después del rebaseline.</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2577"/>
        <w:gridCol w:w="2577"/>
        <w:gridCol w:w="2577"/>
        <w:gridCol w:w="2577"/>
      </w:tblGrid>
      <w:tr>
        <w:trPr>
          <w:tblHeader w:val="true"/>
        </w:trPr>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Etapa</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Objetivo</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Incluye</w:t>
            </w:r>
          </w:p>
        </w:tc>
        <w:tc>
          <w:tcPr>
            <w:tcW w:type="dxa" w:w="2577"/>
            <w:shd w:fill="0D0F12"/>
            <w:vAlign w:val="center"/>
            <w:tcMar>
              <w:top w:w="80" w:type="dxa"/>
              <w:start w:w="90" w:type="dxa"/>
              <w:bottom w:w="80" w:type="dxa"/>
              <w:end w:w="90" w:type="dxa"/>
            </w:tcMar>
          </w:tcPr>
          <w:p>
            <w:pPr>
              <w:jc w:val="left"/>
            </w:pPr>
            <w:r>
              <w:rPr>
                <w:rFonts w:ascii="Inter" w:hAnsi="Inter"/>
                <w:b/>
                <w:i w:val="0"/>
                <w:color w:val="FFFFFF"/>
                <w:sz w:val="15"/>
              </w:rPr>
              <w:t>Regla</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MVP0 Comercial</w:t>
            </w:r>
          </w:p>
        </w:tc>
        <w:tc>
          <w:tcPr>
            <w:tcW w:type="dxa" w:w="2577"/>
            <w:tcMar>
              <w:top w:w="80" w:type="dxa"/>
              <w:start w:w="90" w:type="dxa"/>
              <w:bottom w:w="80" w:type="dxa"/>
              <w:end w:w="90" w:type="dxa"/>
            </w:tcMar>
            <w:vAlign w:val="top"/>
          </w:tcPr>
          <w:p>
            <w:r>
              <w:rPr>
                <w:rFonts w:ascii="Inter" w:hAnsi="Inter"/>
                <w:b w:val="0"/>
                <w:i w:val="0"/>
                <w:color w:val="0D0F12"/>
                <w:sz w:val="15"/>
              </w:rPr>
              <w:t>Vender y operar</w:t>
            </w:r>
          </w:p>
        </w:tc>
        <w:tc>
          <w:tcPr>
            <w:tcW w:type="dxa" w:w="2577"/>
            <w:tcMar>
              <w:top w:w="80" w:type="dxa"/>
              <w:start w:w="90" w:type="dxa"/>
              <w:bottom w:w="80" w:type="dxa"/>
              <w:end w:w="90" w:type="dxa"/>
            </w:tcMar>
            <w:vAlign w:val="top"/>
          </w:tcPr>
          <w:p>
            <w:r>
              <w:rPr>
                <w:rFonts w:ascii="Inter" w:hAnsi="Inter"/>
                <w:b w:val="0"/>
                <w:i w:val="0"/>
                <w:color w:val="0D0F12"/>
                <w:sz w:val="15"/>
              </w:rPr>
              <w:t>Docs Core + Workflow Core + Studio guiado + terceros + Supervisor v0 + COMEX/Follow + Partner-ready.</w:t>
            </w:r>
          </w:p>
        </w:tc>
        <w:tc>
          <w:tcPr>
            <w:tcW w:type="dxa" w:w="2577"/>
            <w:tcMar>
              <w:top w:w="80" w:type="dxa"/>
              <w:start w:w="90" w:type="dxa"/>
              <w:bottom w:w="80" w:type="dxa"/>
              <w:end w:w="90" w:type="dxa"/>
            </w:tcMar>
            <w:vAlign w:val="top"/>
          </w:tcPr>
          <w:p>
            <w:r>
              <w:rPr>
                <w:rFonts w:ascii="Inter" w:hAnsi="Inter"/>
                <w:b w:val="0"/>
                <w:i w:val="0"/>
                <w:color w:val="0D0F12"/>
                <w:sz w:val="15"/>
              </w:rPr>
              <w:t>Sin Canvas completo, sin marketplace con cobro, sin Copilot.</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MVP1 Studio &amp; Partners</w:t>
            </w:r>
          </w:p>
        </w:tc>
        <w:tc>
          <w:tcPr>
            <w:tcW w:type="dxa" w:w="2577"/>
            <w:tcMar>
              <w:top w:w="80" w:type="dxa"/>
              <w:start w:w="90" w:type="dxa"/>
              <w:bottom w:w="80" w:type="dxa"/>
              <w:end w:w="90" w:type="dxa"/>
            </w:tcMar>
            <w:vAlign w:val="top"/>
            <w:shd w:fill="FAFAFB"/>
          </w:tcPr>
          <w:p>
            <w:r>
              <w:rPr>
                <w:rFonts w:ascii="Inter" w:hAnsi="Inter"/>
                <w:b w:val="0"/>
                <w:i w:val="0"/>
                <w:color w:val="0D0F12"/>
                <w:sz w:val="15"/>
              </w:rPr>
              <w:t>Configurar y escalar implementación</w:t>
            </w:r>
          </w:p>
        </w:tc>
        <w:tc>
          <w:tcPr>
            <w:tcW w:type="dxa" w:w="2577"/>
            <w:tcMar>
              <w:top w:w="80" w:type="dxa"/>
              <w:start w:w="90" w:type="dxa"/>
              <w:bottom w:w="80" w:type="dxa"/>
              <w:end w:w="90" w:type="dxa"/>
            </w:tcMar>
            <w:vAlign w:val="top"/>
            <w:shd w:fill="FAFAFB"/>
          </w:tcPr>
          <w:p>
            <w:r>
              <w:rPr>
                <w:rFonts w:ascii="Inter" w:hAnsi="Inter"/>
                <w:b w:val="0"/>
                <w:i w:val="0"/>
                <w:color w:val="0D0F12"/>
                <w:sz w:val="15"/>
              </w:rPr>
              <w:t>Canvas visual, firma adapter, apps/PWA, canales ampliados, workspace partner, Archive avanzado.</w:t>
            </w:r>
          </w:p>
        </w:tc>
        <w:tc>
          <w:tcPr>
            <w:tcW w:type="dxa" w:w="2577"/>
            <w:tcMar>
              <w:top w:w="80" w:type="dxa"/>
              <w:start w:w="90" w:type="dxa"/>
              <w:bottom w:w="80" w:type="dxa"/>
              <w:end w:w="90" w:type="dxa"/>
            </w:tcMar>
            <w:vAlign w:val="top"/>
            <w:shd w:fill="FAFAFB"/>
          </w:tcPr>
          <w:p>
            <w:r>
              <w:rPr>
                <w:rFonts w:ascii="Inter" w:hAnsi="Inter"/>
                <w:b w:val="0"/>
                <w:i w:val="0"/>
                <w:color w:val="0D0F12"/>
                <w:sz w:val="15"/>
              </w:rPr>
              <w:t>Mantiene mismo schema/version model.</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MVP2 Marketplace</w:t>
            </w:r>
          </w:p>
        </w:tc>
        <w:tc>
          <w:tcPr>
            <w:tcW w:type="dxa" w:w="2577"/>
            <w:tcMar>
              <w:top w:w="80" w:type="dxa"/>
              <w:start w:w="90" w:type="dxa"/>
              <w:bottom w:w="80" w:type="dxa"/>
              <w:end w:w="90" w:type="dxa"/>
            </w:tcMar>
            <w:vAlign w:val="top"/>
          </w:tcPr>
          <w:p>
            <w:r>
              <w:rPr>
                <w:rFonts w:ascii="Inter" w:hAnsi="Inter"/>
                <w:b w:val="0"/>
                <w:i w:val="0"/>
                <w:color w:val="0D0F12"/>
                <w:sz w:val="15"/>
              </w:rPr>
              <w:t>Escalar ecosistema</w:t>
            </w:r>
          </w:p>
        </w:tc>
        <w:tc>
          <w:tcPr>
            <w:tcW w:type="dxa" w:w="2577"/>
            <w:tcMar>
              <w:top w:w="80" w:type="dxa"/>
              <w:start w:w="90" w:type="dxa"/>
              <w:bottom w:w="80" w:type="dxa"/>
              <w:end w:w="90" w:type="dxa"/>
            </w:tcMar>
            <w:vAlign w:val="top"/>
          </w:tcPr>
          <w:p>
            <w:r>
              <w:rPr>
                <w:rFonts w:ascii="Inter" w:hAnsi="Inter"/>
                <w:b w:val="0"/>
                <w:i w:val="0"/>
                <w:color w:val="0D0F12"/>
                <w:sz w:val="15"/>
              </w:rPr>
              <w:t>Catálogo público, publisher onboarding/certificación, licencias/precios, compra/instalación, updates, revenue share, vertical packs.</w:t>
            </w:r>
          </w:p>
        </w:tc>
        <w:tc>
          <w:tcPr>
            <w:tcW w:type="dxa" w:w="2577"/>
            <w:tcMar>
              <w:top w:w="80" w:type="dxa"/>
              <w:start w:w="90" w:type="dxa"/>
              <w:bottom w:w="80" w:type="dxa"/>
              <w:end w:w="90" w:type="dxa"/>
            </w:tcMar>
            <w:vAlign w:val="top"/>
          </w:tcPr>
          <w:p>
            <w:r>
              <w:rPr>
                <w:rFonts w:ascii="Inter" w:hAnsi="Inter"/>
                <w:b w:val="0"/>
                <w:i w:val="0"/>
                <w:color w:val="0D0F12"/>
                <w:sz w:val="15"/>
              </w:rPr>
              <w:t>No cambia runtime de plantillas.</w:t>
            </w:r>
          </w:p>
        </w:tc>
      </w:tr>
      <w:tr>
        <w:trPr>
          <w:cantSplit/>
        </w:trPr>
        <w:tc>
          <w:tcPr>
            <w:tcW w:type="dxa" w:w="2577"/>
            <w:tcMar>
              <w:top w:w="80" w:type="dxa"/>
              <w:start w:w="90" w:type="dxa"/>
              <w:bottom w:w="80" w:type="dxa"/>
              <w:end w:w="90" w:type="dxa"/>
            </w:tcMar>
            <w:vAlign w:val="top"/>
            <w:shd w:fill="FAFAFB"/>
          </w:tcPr>
          <w:p>
            <w:r>
              <w:rPr>
                <w:rFonts w:ascii="Inter" w:hAnsi="Inter"/>
                <w:b w:val="0"/>
                <w:i w:val="0"/>
                <w:color w:val="0D0F12"/>
                <w:sz w:val="15"/>
              </w:rPr>
              <w:t>MVP3 IA Avanzada</w:t>
            </w:r>
          </w:p>
        </w:tc>
        <w:tc>
          <w:tcPr>
            <w:tcW w:type="dxa" w:w="2577"/>
            <w:tcMar>
              <w:top w:w="80" w:type="dxa"/>
              <w:start w:w="90" w:type="dxa"/>
              <w:bottom w:w="80" w:type="dxa"/>
              <w:end w:w="90" w:type="dxa"/>
            </w:tcMar>
            <w:vAlign w:val="top"/>
            <w:shd w:fill="FAFAFB"/>
          </w:tcPr>
          <w:p>
            <w:r>
              <w:rPr>
                <w:rFonts w:ascii="Inter" w:hAnsi="Inter"/>
                <w:b w:val="0"/>
                <w:i w:val="0"/>
                <w:color w:val="0D0F12"/>
                <w:sz w:val="15"/>
              </w:rPr>
              <w:t>Diferenciación</w:t>
            </w:r>
          </w:p>
        </w:tc>
        <w:tc>
          <w:tcPr>
            <w:tcW w:type="dxa" w:w="2577"/>
            <w:tcMar>
              <w:top w:w="80" w:type="dxa"/>
              <w:start w:w="90" w:type="dxa"/>
              <w:bottom w:w="80" w:type="dxa"/>
              <w:end w:w="90" w:type="dxa"/>
            </w:tcMar>
            <w:vAlign w:val="top"/>
            <w:shd w:fill="FAFAFB"/>
          </w:tcPr>
          <w:p>
            <w:r>
              <w:rPr>
                <w:rFonts w:ascii="Inter" w:hAnsi="Inter"/>
                <w:b w:val="0"/>
                <w:i w:val="0"/>
                <w:color w:val="0D0F12"/>
                <w:sz w:val="15"/>
              </w:rPr>
              <w:t>Sentinel incremental con Process Facts/dependency graph, Simulation Lab, propuestas de reglas, Process Copilot desde SOP.</w:t>
            </w:r>
          </w:p>
        </w:tc>
        <w:tc>
          <w:tcPr>
            <w:tcW w:type="dxa" w:w="2577"/>
            <w:tcMar>
              <w:top w:w="80" w:type="dxa"/>
              <w:start w:w="90" w:type="dxa"/>
              <w:bottom w:w="80" w:type="dxa"/>
              <w:end w:w="90" w:type="dxa"/>
            </w:tcMar>
            <w:vAlign w:val="top"/>
            <w:shd w:fill="FAFAFB"/>
          </w:tcPr>
          <w:p>
            <w:r>
              <w:rPr>
                <w:rFonts w:ascii="Inter" w:hAnsi="Inter"/>
                <w:b w:val="0"/>
                <w:i w:val="0"/>
                <w:color w:val="0D0F12"/>
                <w:sz w:val="15"/>
              </w:rPr>
              <w:t>Toda propuesta pasa quality/regression gate.</w:t>
            </w:r>
          </w:p>
        </w:tc>
      </w:tr>
      <w:tr>
        <w:trPr>
          <w:cantSplit/>
        </w:trPr>
        <w:tc>
          <w:tcPr>
            <w:tcW w:type="dxa" w:w="2577"/>
            <w:tcMar>
              <w:top w:w="80" w:type="dxa"/>
              <w:start w:w="90" w:type="dxa"/>
              <w:bottom w:w="80" w:type="dxa"/>
              <w:end w:w="90" w:type="dxa"/>
            </w:tcMar>
            <w:vAlign w:val="top"/>
          </w:tcPr>
          <w:p>
            <w:r>
              <w:rPr>
                <w:rFonts w:ascii="Inter" w:hAnsi="Inter"/>
                <w:b w:val="0"/>
                <w:i w:val="0"/>
                <w:color w:val="0D0F12"/>
                <w:sz w:val="15"/>
              </w:rPr>
              <w:t>MVP4 Enterprise Scale</w:t>
            </w:r>
          </w:p>
        </w:tc>
        <w:tc>
          <w:tcPr>
            <w:tcW w:type="dxa" w:w="2577"/>
            <w:tcMar>
              <w:top w:w="80" w:type="dxa"/>
              <w:start w:w="90" w:type="dxa"/>
              <w:bottom w:w="80" w:type="dxa"/>
              <w:end w:w="90" w:type="dxa"/>
            </w:tcMar>
            <w:vAlign w:val="top"/>
          </w:tcPr>
          <w:p>
            <w:r>
              <w:rPr>
                <w:rFonts w:ascii="Inter" w:hAnsi="Inter"/>
                <w:b w:val="0"/>
                <w:i w:val="0"/>
                <w:color w:val="0D0F12"/>
                <w:sz w:val="15"/>
              </w:rPr>
              <w:t>Grandes cuentas/regulados</w:t>
            </w:r>
          </w:p>
        </w:tc>
        <w:tc>
          <w:tcPr>
            <w:tcW w:type="dxa" w:w="2577"/>
            <w:tcMar>
              <w:top w:w="80" w:type="dxa"/>
              <w:start w:w="90" w:type="dxa"/>
              <w:bottom w:w="80" w:type="dxa"/>
              <w:end w:w="90" w:type="dxa"/>
            </w:tcMar>
            <w:vAlign w:val="top"/>
          </w:tcPr>
          <w:p>
            <w:r>
              <w:rPr>
                <w:rFonts w:ascii="Inter" w:hAnsi="Inter"/>
                <w:b w:val="0"/>
                <w:i w:val="0"/>
                <w:color w:val="0D0F12"/>
                <w:sz w:val="15"/>
              </w:rPr>
              <w:t>Private cloud, multi-region, DR avanzado, residency, analytics/governance enterprise.</w:t>
            </w:r>
          </w:p>
        </w:tc>
        <w:tc>
          <w:tcPr>
            <w:tcW w:type="dxa" w:w="2577"/>
            <w:tcMar>
              <w:top w:w="80" w:type="dxa"/>
              <w:start w:w="90" w:type="dxa"/>
              <w:bottom w:w="80" w:type="dxa"/>
              <w:end w:w="90" w:type="dxa"/>
            </w:tcMar>
            <w:vAlign w:val="top"/>
          </w:tcPr>
          <w:p>
            <w:r>
              <w:rPr>
                <w:rFonts w:ascii="Inter" w:hAnsi="Inter"/>
                <w:b w:val="0"/>
                <w:i w:val="0"/>
                <w:color w:val="0D0F12"/>
                <w:sz w:val="15"/>
              </w:rPr>
              <w:t>Según demanda comercial.</w:t>
            </w:r>
          </w:p>
        </w:tc>
      </w:tr>
    </w:tbl>
    <w:p/>
    <w:p>
      <w:pPr>
        <w:pStyle w:val="Heading1"/>
      </w:pPr>
      <w:r>
        <w:t>15. Cambios concretos que deben incorporarse a la Base Proyecto</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5155"/>
        <w:gridCol w:w="5155"/>
      </w:tblGrid>
      <w:tr>
        <w:trPr>
          <w:tblHeader w:val="true"/>
        </w:trPr>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Documento base</w:t>
            </w:r>
          </w:p>
        </w:tc>
        <w:tc>
          <w:tcPr>
            <w:tcW w:type="dxa" w:w="5155"/>
            <w:shd w:fill="0D0F12"/>
            <w:vAlign w:val="center"/>
            <w:tcMar>
              <w:top w:w="80" w:type="dxa"/>
              <w:start w:w="90" w:type="dxa"/>
              <w:bottom w:w="80" w:type="dxa"/>
              <w:end w:w="90" w:type="dxa"/>
            </w:tcMar>
          </w:tcPr>
          <w:p>
            <w:pPr>
              <w:jc w:val="left"/>
            </w:pPr>
            <w:r>
              <w:rPr>
                <w:rFonts w:ascii="Inter" w:hAnsi="Inter"/>
                <w:b/>
                <w:i w:val="0"/>
                <w:color w:val="FFFFFF"/>
                <w:sz w:val="16"/>
              </w:rPr>
              <w:t>Ajuste</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00 Índice / Resumen</w:t>
            </w:r>
          </w:p>
        </w:tc>
        <w:tc>
          <w:tcPr>
            <w:tcW w:type="dxa" w:w="5155"/>
            <w:tcMar>
              <w:top w:w="80" w:type="dxa"/>
              <w:start w:w="90" w:type="dxa"/>
              <w:bottom w:w="80" w:type="dxa"/>
              <w:end w:w="90" w:type="dxa"/>
            </w:tcMar>
            <w:vAlign w:val="top"/>
          </w:tcPr>
          <w:p>
            <w:r>
              <w:rPr>
                <w:rFonts w:ascii="Inter" w:hAnsi="Inter"/>
                <w:b w:val="0"/>
                <w:i w:val="0"/>
                <w:color w:val="0D0F12"/>
                <w:sz w:val="16"/>
              </w:rPr>
              <w:t>Agregar “MVP0 Comercial rebaseline” y matriz de precedencia documental.</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N1 PRD</w:t>
            </w:r>
          </w:p>
        </w:tc>
        <w:tc>
          <w:tcPr>
            <w:tcW w:type="dxa" w:w="5155"/>
            <w:tcMar>
              <w:top w:w="80" w:type="dxa"/>
              <w:start w:w="90" w:type="dxa"/>
              <w:bottom w:w="80" w:type="dxa"/>
              <w:end w:w="90" w:type="dxa"/>
            </w:tcMar>
            <w:vAlign w:val="top"/>
            <w:shd w:fill="FAFAFB"/>
          </w:tcPr>
          <w:p>
            <w:r>
              <w:rPr>
                <w:rFonts w:ascii="Inter" w:hAnsi="Inter"/>
                <w:b w:val="0"/>
                <w:i w:val="0"/>
                <w:color w:val="0D0F12"/>
                <w:sz w:val="16"/>
              </w:rPr>
              <w:t>Mover Workflow Core/Studio guiado/terceros/Supervisor v0/Partner Foundation a gate MVP0; separar Sentinel avanzado.</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N2 Arquitectura</w:t>
            </w:r>
          </w:p>
        </w:tc>
        <w:tc>
          <w:tcPr>
            <w:tcW w:type="dxa" w:w="5155"/>
            <w:tcMar>
              <w:top w:w="80" w:type="dxa"/>
              <w:start w:w="90" w:type="dxa"/>
              <w:bottom w:w="80" w:type="dxa"/>
              <w:end w:w="90" w:type="dxa"/>
            </w:tcMar>
            <w:vAlign w:val="top"/>
          </w:tcPr>
          <w:p>
            <w:r>
              <w:rPr>
                <w:rFonts w:ascii="Inter" w:hAnsi="Inter"/>
                <w:b w:val="0"/>
                <w:i w:val="0"/>
                <w:color w:val="0D0F12"/>
                <w:sz w:val="16"/>
              </w:rPr>
              <w:t>Agregar flujos: partner delega→configura; template install/fork; tercero; supervisor v0; multimodal COMEX.</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N3 Desarrollo/QA</w:t>
            </w:r>
          </w:p>
        </w:tc>
        <w:tc>
          <w:tcPr>
            <w:tcW w:type="dxa" w:w="5155"/>
            <w:tcMar>
              <w:top w:w="80" w:type="dxa"/>
              <w:start w:w="90" w:type="dxa"/>
              <w:bottom w:w="80" w:type="dxa"/>
              <w:end w:w="90" w:type="dxa"/>
            </w:tcMar>
            <w:vAlign w:val="top"/>
            <w:shd w:fill="FAFAFB"/>
          </w:tcPr>
          <w:p>
            <w:r>
              <w:rPr>
                <w:rFonts w:ascii="Inter" w:hAnsi="Inter"/>
                <w:b w:val="0"/>
                <w:i w:val="0"/>
                <w:color w:val="0D0F12"/>
                <w:sz w:val="16"/>
              </w:rPr>
              <w:t>Crear épicas P0 enumeradas en este documento y pruebas de tenancy/versioning/delegation/marketplace-readiness.</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03 Arquitectura técnica</w:t>
            </w:r>
          </w:p>
        </w:tc>
        <w:tc>
          <w:tcPr>
            <w:tcW w:type="dxa" w:w="5155"/>
            <w:tcMar>
              <w:top w:w="80" w:type="dxa"/>
              <w:start w:w="90" w:type="dxa"/>
              <w:bottom w:w="80" w:type="dxa"/>
              <w:end w:w="90" w:type="dxa"/>
            </w:tcMar>
            <w:vAlign w:val="top"/>
          </w:tcPr>
          <w:p>
            <w:r>
              <w:rPr>
                <w:rFonts w:ascii="Inter" w:hAnsi="Inter"/>
                <w:b w:val="0"/>
                <w:i w:val="0"/>
                <w:color w:val="0D0F12"/>
                <w:sz w:val="16"/>
              </w:rPr>
              <w:t>Añadir partner_organization, delegated_access_grant, template provenance/install/override y Supervisor Policy.</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04 Studio UX</w:t>
            </w:r>
          </w:p>
        </w:tc>
        <w:tc>
          <w:tcPr>
            <w:tcW w:type="dxa" w:w="5155"/>
            <w:tcMar>
              <w:top w:w="80" w:type="dxa"/>
              <w:start w:w="90" w:type="dxa"/>
              <w:bottom w:w="80" w:type="dxa"/>
              <w:end w:w="90" w:type="dxa"/>
            </w:tcMar>
            <w:vAlign w:val="top"/>
            <w:shd w:fill="FAFAFB"/>
          </w:tcPr>
          <w:p>
            <w:r>
              <w:rPr>
                <w:rFonts w:ascii="Inter" w:hAnsi="Inter"/>
                <w:b w:val="0"/>
                <w:i w:val="0"/>
                <w:color w:val="0D0F12"/>
                <w:sz w:val="16"/>
              </w:rPr>
              <w:t>Definir Modo Guiado MVP0 y Canvas MVP1 sobre un único modelo de definición.</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06 Biblioteca Plantillas</w:t>
            </w:r>
          </w:p>
        </w:tc>
        <w:tc>
          <w:tcPr>
            <w:tcW w:type="dxa" w:w="5155"/>
            <w:tcMar>
              <w:top w:w="80" w:type="dxa"/>
              <w:start w:w="90" w:type="dxa"/>
              <w:bottom w:w="80" w:type="dxa"/>
              <w:end w:w="90" w:type="dxa"/>
            </w:tcMar>
            <w:vAlign w:val="top"/>
          </w:tcPr>
          <w:p>
            <w:r>
              <w:rPr>
                <w:rFonts w:ascii="Inter" w:hAnsi="Inter"/>
                <w:b w:val="0"/>
                <w:i w:val="0"/>
                <w:color w:val="0D0F12"/>
                <w:sz w:val="16"/>
              </w:rPr>
              <w:t>Agregar 4 multimodales, manifest estándar, fixtures, metadata publisher/visibility/licensing placeholder.</w:t>
            </w:r>
          </w:p>
        </w:tc>
      </w:tr>
      <w:tr>
        <w:trPr>
          <w:cantSplit/>
        </w:trPr>
        <w:tc>
          <w:tcPr>
            <w:tcW w:type="dxa" w:w="5155"/>
            <w:tcMar>
              <w:top w:w="80" w:type="dxa"/>
              <w:start w:w="90" w:type="dxa"/>
              <w:bottom w:w="80" w:type="dxa"/>
              <w:end w:w="90" w:type="dxa"/>
            </w:tcMar>
            <w:vAlign w:val="top"/>
            <w:shd w:fill="FAFAFB"/>
          </w:tcPr>
          <w:p>
            <w:r>
              <w:rPr>
                <w:rFonts w:ascii="Inter" w:hAnsi="Inter"/>
                <w:b w:val="0"/>
                <w:i w:val="0"/>
                <w:color w:val="0D0F12"/>
                <w:sz w:val="16"/>
              </w:rPr>
              <w:t>Benchmark</w:t>
            </w:r>
          </w:p>
        </w:tc>
        <w:tc>
          <w:tcPr>
            <w:tcW w:type="dxa" w:w="5155"/>
            <w:tcMar>
              <w:top w:w="80" w:type="dxa"/>
              <w:start w:w="90" w:type="dxa"/>
              <w:bottom w:w="80" w:type="dxa"/>
              <w:end w:w="90" w:type="dxa"/>
            </w:tcMar>
            <w:vAlign w:val="top"/>
            <w:shd w:fill="FAFAFB"/>
          </w:tcPr>
          <w:p>
            <w:r>
              <w:rPr>
                <w:rFonts w:ascii="Inter" w:hAnsi="Inter"/>
                <w:b w:val="0"/>
                <w:i w:val="0"/>
                <w:color w:val="0D0F12"/>
                <w:sz w:val="16"/>
              </w:rPr>
              <w:t>Actualizar DigiX 2026 y ABBYY Vantage 3; incluir consecuencia explícita para workflow/marketplace.</w:t>
            </w:r>
          </w:p>
        </w:tc>
      </w:tr>
      <w:tr>
        <w:trPr>
          <w:cantSplit/>
        </w:trPr>
        <w:tc>
          <w:tcPr>
            <w:tcW w:type="dxa" w:w="5155"/>
            <w:tcMar>
              <w:top w:w="80" w:type="dxa"/>
              <w:start w:w="90" w:type="dxa"/>
              <w:bottom w:w="80" w:type="dxa"/>
              <w:end w:w="90" w:type="dxa"/>
            </w:tcMar>
            <w:vAlign w:val="top"/>
          </w:tcPr>
          <w:p>
            <w:r>
              <w:rPr>
                <w:rFonts w:ascii="Inter" w:hAnsi="Inter"/>
                <w:b w:val="0"/>
                <w:i w:val="0"/>
                <w:color w:val="0D0F12"/>
                <w:sz w:val="16"/>
              </w:rPr>
              <w:t>Anexos Follow</w:t>
            </w:r>
          </w:p>
        </w:tc>
        <w:tc>
          <w:tcPr>
            <w:tcW w:type="dxa" w:w="5155"/>
            <w:tcMar>
              <w:top w:w="80" w:type="dxa"/>
              <w:start w:w="90" w:type="dxa"/>
              <w:bottom w:w="80" w:type="dxa"/>
              <w:end w:w="90" w:type="dxa"/>
            </w:tcMar>
            <w:vAlign w:val="top"/>
          </w:tcPr>
          <w:p>
            <w:r>
              <w:rPr>
                <w:rFonts w:ascii="Inter" w:hAnsi="Inter"/>
                <w:b w:val="0"/>
                <w:i w:val="0"/>
                <w:color w:val="0D0F12"/>
                <w:sz w:val="16"/>
              </w:rPr>
              <w:t>Incorporar Context Contract y mapping por IDs canónicos de tipo de carga; no replicar maestro.</w:t>
            </w:r>
          </w:p>
        </w:tc>
      </w:tr>
    </w:tbl>
    <w:p/>
    <w:p>
      <w:pPr>
        <w:pStyle w:val="Heading1"/>
      </w:pPr>
      <w:r>
        <w:t>16. Riesgos y decisiones que no deben quedar implícitas</w:t>
      </w:r>
    </w:p>
    <w:tbl>
      <w:tblPr>
        <w:tblW w:type="auto" w:w="0"/>
        <w:jc w:val="center"/>
        <w:tblLayout w:type="autofit"/>
        <w:tblLook w:firstColumn="1" w:firstRow="1" w:lastColumn="0" w:lastRow="0" w:noHBand="0" w:noVBand="1" w:val="04A0"/>
        <w:tblBorders>
          <w:top w:val="single" w:sz="6" w:space="0" w:color="D9DDE5"/>
          <w:left w:val="single" w:sz="6" w:space="0" w:color="D9DDE5"/>
          <w:bottom w:val="single" w:sz="6" w:space="0" w:color="D9DDE5"/>
          <w:right w:val="single" w:sz="6" w:space="0" w:color="D9DDE5"/>
          <w:insideH w:val="single" w:sz="6" w:space="0" w:color="D9DDE5"/>
          <w:insideV w:val="single" w:sz="6" w:space="0" w:color="D9DDE5"/>
        </w:tblBorders>
      </w:tblPr>
      <w:tblGrid>
        <w:gridCol w:w="3437"/>
        <w:gridCol w:w="3437"/>
        <w:gridCol w:w="3437"/>
      </w:tblGrid>
      <w:tr>
        <w:trPr>
          <w:tblHeader w:val="true"/>
        </w:trPr>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Riesgo</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Falla posible</w:t>
            </w:r>
          </w:p>
        </w:tc>
        <w:tc>
          <w:tcPr>
            <w:tcW w:type="dxa" w:w="3437"/>
            <w:shd w:fill="0D0F12"/>
            <w:vAlign w:val="center"/>
            <w:tcMar>
              <w:top w:w="80" w:type="dxa"/>
              <w:start w:w="90" w:type="dxa"/>
              <w:bottom w:w="80" w:type="dxa"/>
              <w:end w:w="90" w:type="dxa"/>
            </w:tcMar>
          </w:tcPr>
          <w:p>
            <w:pPr>
              <w:jc w:val="left"/>
            </w:pPr>
            <w:r>
              <w:rPr>
                <w:rFonts w:ascii="Inter" w:hAnsi="Inter"/>
                <w:b/>
                <w:i w:val="0"/>
                <w:color w:val="FFFFFF"/>
                <w:sz w:val="15"/>
              </w:rPr>
              <w:t>Control</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Scope creep</w:t>
            </w:r>
          </w:p>
        </w:tc>
        <w:tc>
          <w:tcPr>
            <w:tcW w:type="dxa" w:w="3437"/>
            <w:tcMar>
              <w:top w:w="80" w:type="dxa"/>
              <w:start w:w="90" w:type="dxa"/>
              <w:bottom w:w="80" w:type="dxa"/>
              <w:end w:w="90" w:type="dxa"/>
            </w:tcMar>
            <w:vAlign w:val="top"/>
          </w:tcPr>
          <w:p>
            <w:r>
              <w:rPr>
                <w:rFonts w:ascii="Inter" w:hAnsi="Inter"/>
                <w:b w:val="0"/>
                <w:i w:val="0"/>
                <w:color w:val="0D0F12"/>
                <w:sz w:val="15"/>
              </w:rPr>
              <w:t>Confundir “crear workflow” con construir un BPM/RPA universal.</w:t>
            </w:r>
          </w:p>
        </w:tc>
        <w:tc>
          <w:tcPr>
            <w:tcW w:type="dxa" w:w="3437"/>
            <w:tcMar>
              <w:top w:w="80" w:type="dxa"/>
              <w:start w:w="90" w:type="dxa"/>
              <w:bottom w:w="80" w:type="dxa"/>
              <w:end w:w="90" w:type="dxa"/>
            </w:tcMar>
            <w:vAlign w:val="top"/>
          </w:tcPr>
          <w:p>
            <w:r>
              <w:rPr>
                <w:rFonts w:ascii="Inter" w:hAnsi="Inter"/>
                <w:b w:val="0"/>
                <w:i w:val="0"/>
                <w:color w:val="0D0F12"/>
                <w:sz w:val="15"/>
              </w:rPr>
              <w:t>Limitar nodos MVP0 a procesos documentales; adapters para acciones externas.</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Partner overreach</w:t>
            </w:r>
          </w:p>
        </w:tc>
        <w:tc>
          <w:tcPr>
            <w:tcW w:type="dxa" w:w="3437"/>
            <w:tcMar>
              <w:top w:w="80" w:type="dxa"/>
              <w:start w:w="90" w:type="dxa"/>
              <w:bottom w:w="80" w:type="dxa"/>
              <w:end w:w="90" w:type="dxa"/>
            </w:tcMar>
            <w:vAlign w:val="top"/>
            <w:shd w:fill="FAFAFB"/>
          </w:tcPr>
          <w:p>
            <w:r>
              <w:rPr>
                <w:rFonts w:ascii="Inter" w:hAnsi="Inter"/>
                <w:b w:val="0"/>
                <w:i w:val="0"/>
                <w:color w:val="0D0F12"/>
                <w:sz w:val="15"/>
              </w:rPr>
              <w:t>Partner con acceso global a todos sus clientes.</w:t>
            </w:r>
          </w:p>
        </w:tc>
        <w:tc>
          <w:tcPr>
            <w:tcW w:type="dxa" w:w="3437"/>
            <w:tcMar>
              <w:top w:w="80" w:type="dxa"/>
              <w:start w:w="90" w:type="dxa"/>
              <w:bottom w:w="80" w:type="dxa"/>
              <w:end w:w="90" w:type="dxa"/>
            </w:tcMar>
            <w:vAlign w:val="top"/>
            <w:shd w:fill="FAFAFB"/>
          </w:tcPr>
          <w:p>
            <w:r>
              <w:rPr>
                <w:rFonts w:ascii="Inter" w:hAnsi="Inter"/>
                <w:b w:val="0"/>
                <w:i w:val="0"/>
                <w:color w:val="0D0F12"/>
                <w:sz w:val="15"/>
              </w:rPr>
              <w:t>Delegated grants explícitos por tenant/scope/expiración.</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Propiedad IP</w:t>
            </w:r>
          </w:p>
        </w:tc>
        <w:tc>
          <w:tcPr>
            <w:tcW w:type="dxa" w:w="3437"/>
            <w:tcMar>
              <w:top w:w="80" w:type="dxa"/>
              <w:start w:w="90" w:type="dxa"/>
              <w:bottom w:w="80" w:type="dxa"/>
              <w:end w:w="90" w:type="dxa"/>
            </w:tcMar>
            <w:vAlign w:val="top"/>
          </w:tcPr>
          <w:p>
            <w:r>
              <w:rPr>
                <w:rFonts w:ascii="Inter" w:hAnsi="Inter"/>
                <w:b w:val="0"/>
                <w:i w:val="0"/>
                <w:color w:val="0D0F12"/>
                <w:sz w:val="15"/>
              </w:rPr>
              <w:t>Cliente modifica template partner y se pierde origen.</w:t>
            </w:r>
          </w:p>
        </w:tc>
        <w:tc>
          <w:tcPr>
            <w:tcW w:type="dxa" w:w="3437"/>
            <w:tcMar>
              <w:top w:w="80" w:type="dxa"/>
              <w:start w:w="90" w:type="dxa"/>
              <w:bottom w:w="80" w:type="dxa"/>
              <w:end w:w="90" w:type="dxa"/>
            </w:tcMar>
            <w:vAlign w:val="top"/>
          </w:tcPr>
          <w:p>
            <w:r>
              <w:rPr>
                <w:rFonts w:ascii="Inter" w:hAnsi="Inter"/>
                <w:b w:val="0"/>
                <w:i w:val="0"/>
                <w:color w:val="0D0F12"/>
                <w:sz w:val="15"/>
              </w:rPr>
              <w:t>Version pin + fork/overlay + provenance.</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AI supervisor autónomo</w:t>
            </w:r>
          </w:p>
        </w:tc>
        <w:tc>
          <w:tcPr>
            <w:tcW w:type="dxa" w:w="3437"/>
            <w:tcMar>
              <w:top w:w="80" w:type="dxa"/>
              <w:start w:w="90" w:type="dxa"/>
              <w:bottom w:w="80" w:type="dxa"/>
              <w:end w:w="90" w:type="dxa"/>
            </w:tcMar>
            <w:vAlign w:val="top"/>
            <w:shd w:fill="FAFAFB"/>
          </w:tcPr>
          <w:p>
            <w:r>
              <w:rPr>
                <w:rFonts w:ascii="Inter" w:hAnsi="Inter"/>
                <w:b w:val="0"/>
                <w:i w:val="0"/>
                <w:color w:val="0D0F12"/>
                <w:sz w:val="15"/>
              </w:rPr>
              <w:t>IA cambia reglas o bloquea sin control.</w:t>
            </w:r>
          </w:p>
        </w:tc>
        <w:tc>
          <w:tcPr>
            <w:tcW w:type="dxa" w:w="3437"/>
            <w:tcMar>
              <w:top w:w="80" w:type="dxa"/>
              <w:start w:w="90" w:type="dxa"/>
              <w:bottom w:w="80" w:type="dxa"/>
              <w:end w:w="90" w:type="dxa"/>
            </w:tcMar>
            <w:vAlign w:val="top"/>
            <w:shd w:fill="FAFAFB"/>
          </w:tcPr>
          <w:p>
            <w:r>
              <w:rPr>
                <w:rFonts w:ascii="Inter" w:hAnsi="Inter"/>
                <w:b w:val="0"/>
                <w:i w:val="0"/>
                <w:color w:val="0D0F12"/>
                <w:sz w:val="15"/>
              </w:rPr>
              <w:t>Policy versionada; publicación/bloqueos gobernados; audit.</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Explosión de plantillas COMEX</w:t>
            </w:r>
          </w:p>
        </w:tc>
        <w:tc>
          <w:tcPr>
            <w:tcW w:type="dxa" w:w="3437"/>
            <w:tcMar>
              <w:top w:w="80" w:type="dxa"/>
              <w:start w:w="90" w:type="dxa"/>
              <w:bottom w:w="80" w:type="dxa"/>
              <w:end w:w="90" w:type="dxa"/>
            </w:tcMar>
            <w:vAlign w:val="top"/>
          </w:tcPr>
          <w:p>
            <w:r>
              <w:rPr>
                <w:rFonts w:ascii="Inter" w:hAnsi="Inter"/>
                <w:b w:val="0"/>
                <w:i w:val="0"/>
                <w:color w:val="0D0F12"/>
                <w:sz w:val="15"/>
              </w:rPr>
              <w:t>Duplicar por cada combinación de carga/modalidad.</w:t>
            </w:r>
          </w:p>
        </w:tc>
        <w:tc>
          <w:tcPr>
            <w:tcW w:type="dxa" w:w="3437"/>
            <w:tcMar>
              <w:top w:w="80" w:type="dxa"/>
              <w:start w:w="90" w:type="dxa"/>
              <w:bottom w:w="80" w:type="dxa"/>
              <w:end w:w="90" w:type="dxa"/>
            </w:tcMar>
            <w:vAlign w:val="top"/>
          </w:tcPr>
          <w:p>
            <w:r>
              <w:rPr>
                <w:rFonts w:ascii="Inter" w:hAnsi="Inter"/>
                <w:b w:val="0"/>
                <w:i w:val="0"/>
                <w:color w:val="0D0F12"/>
                <w:sz w:val="15"/>
              </w:rPr>
              <w:t>Base + overlays + subprocesos + Template Recommender.</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Hardcode Follow</w:t>
            </w:r>
          </w:p>
        </w:tc>
        <w:tc>
          <w:tcPr>
            <w:tcW w:type="dxa" w:w="3437"/>
            <w:tcMar>
              <w:top w:w="80" w:type="dxa"/>
              <w:start w:w="90" w:type="dxa"/>
              <w:bottom w:w="80" w:type="dxa"/>
              <w:end w:w="90" w:type="dxa"/>
            </w:tcMar>
            <w:vAlign w:val="top"/>
            <w:shd w:fill="FAFAFB"/>
          </w:tcPr>
          <w:p>
            <w:r>
              <w:rPr>
                <w:rFonts w:ascii="Inter" w:hAnsi="Inter"/>
                <w:b w:val="0"/>
                <w:i w:val="0"/>
                <w:color w:val="0D0F12"/>
                <w:sz w:val="15"/>
              </w:rPr>
              <w:t>NEXT DOC AI depende de tablas/IDs internos de Follow.</w:t>
            </w:r>
          </w:p>
        </w:tc>
        <w:tc>
          <w:tcPr>
            <w:tcW w:type="dxa" w:w="3437"/>
            <w:tcMar>
              <w:top w:w="80" w:type="dxa"/>
              <w:start w:w="90" w:type="dxa"/>
              <w:bottom w:w="80" w:type="dxa"/>
              <w:end w:w="90" w:type="dxa"/>
            </w:tcMar>
            <w:vAlign w:val="top"/>
            <w:shd w:fill="FAFAFB"/>
          </w:tcPr>
          <w:p>
            <w:r>
              <w:rPr>
                <w:rFonts w:ascii="Inter" w:hAnsi="Inter"/>
                <w:b w:val="0"/>
                <w:i w:val="0"/>
                <w:color w:val="0D0F12"/>
                <w:sz w:val="15"/>
              </w:rPr>
              <w:t>Connector traduce a contrato canónico.</w:t>
            </w:r>
          </w:p>
        </w:tc>
      </w:tr>
      <w:tr>
        <w:trPr>
          <w:cantSplit/>
        </w:trPr>
        <w:tc>
          <w:tcPr>
            <w:tcW w:type="dxa" w:w="3437"/>
            <w:tcMar>
              <w:top w:w="80" w:type="dxa"/>
              <w:start w:w="90" w:type="dxa"/>
              <w:bottom w:w="80" w:type="dxa"/>
              <w:end w:w="90" w:type="dxa"/>
            </w:tcMar>
            <w:vAlign w:val="top"/>
          </w:tcPr>
          <w:p>
            <w:r>
              <w:rPr>
                <w:rFonts w:ascii="Inter" w:hAnsi="Inter"/>
                <w:b w:val="0"/>
                <w:i w:val="0"/>
                <w:color w:val="0D0F12"/>
                <w:sz w:val="15"/>
              </w:rPr>
              <w:t>Regulatorio por país</w:t>
            </w:r>
          </w:p>
        </w:tc>
        <w:tc>
          <w:tcPr>
            <w:tcW w:type="dxa" w:w="3437"/>
            <w:tcMar>
              <w:top w:w="80" w:type="dxa"/>
              <w:start w:w="90" w:type="dxa"/>
              <w:bottom w:w="80" w:type="dxa"/>
              <w:end w:w="90" w:type="dxa"/>
            </w:tcMar>
            <w:vAlign w:val="top"/>
          </w:tcPr>
          <w:p>
            <w:r>
              <w:rPr>
                <w:rFonts w:ascii="Inter" w:hAnsi="Inter"/>
                <w:b w:val="0"/>
                <w:i w:val="0"/>
                <w:color w:val="0D0F12"/>
                <w:sz w:val="15"/>
              </w:rPr>
              <w:t>Plantilla global asume documentos legales universales.</w:t>
            </w:r>
          </w:p>
        </w:tc>
        <w:tc>
          <w:tcPr>
            <w:tcW w:type="dxa" w:w="3437"/>
            <w:tcMar>
              <w:top w:w="80" w:type="dxa"/>
              <w:start w:w="90" w:type="dxa"/>
              <w:bottom w:w="80" w:type="dxa"/>
              <w:end w:w="90" w:type="dxa"/>
            </w:tcMar>
            <w:vAlign w:val="top"/>
          </w:tcPr>
          <w:p>
            <w:r>
              <w:rPr>
                <w:rFonts w:ascii="Inter" w:hAnsi="Inter"/>
                <w:b w:val="0"/>
                <w:i w:val="0"/>
                <w:color w:val="0D0F12"/>
                <w:sz w:val="15"/>
              </w:rPr>
              <w:t>Country/regulatory overlays y validación legal local.</w:t>
            </w:r>
          </w:p>
        </w:tc>
      </w:tr>
      <w:tr>
        <w:trPr>
          <w:cantSplit/>
        </w:trPr>
        <w:tc>
          <w:tcPr>
            <w:tcW w:type="dxa" w:w="3437"/>
            <w:tcMar>
              <w:top w:w="80" w:type="dxa"/>
              <w:start w:w="90" w:type="dxa"/>
              <w:bottom w:w="80" w:type="dxa"/>
              <w:end w:w="90" w:type="dxa"/>
            </w:tcMar>
            <w:vAlign w:val="top"/>
            <w:shd w:fill="FAFAFB"/>
          </w:tcPr>
          <w:p>
            <w:r>
              <w:rPr>
                <w:rFonts w:ascii="Inter" w:hAnsi="Inter"/>
                <w:b w:val="0"/>
                <w:i w:val="0"/>
                <w:color w:val="0D0F12"/>
                <w:sz w:val="15"/>
              </w:rPr>
              <w:t>Demo ≠ producción</w:t>
            </w:r>
          </w:p>
        </w:tc>
        <w:tc>
          <w:tcPr>
            <w:tcW w:type="dxa" w:w="3437"/>
            <w:tcMar>
              <w:top w:w="80" w:type="dxa"/>
              <w:start w:w="90" w:type="dxa"/>
              <w:bottom w:w="80" w:type="dxa"/>
              <w:end w:w="90" w:type="dxa"/>
            </w:tcMar>
            <w:vAlign w:val="top"/>
            <w:shd w:fill="FAFAFB"/>
          </w:tcPr>
          <w:p>
            <w:r>
              <w:rPr>
                <w:rFonts w:ascii="Inter" w:hAnsi="Inter"/>
                <w:b w:val="0"/>
                <w:i w:val="0"/>
                <w:color w:val="0D0F12"/>
                <w:sz w:val="15"/>
              </w:rPr>
              <w:t>247 tests dan confianza, pero no reemplazan E2E/load/real data.</w:t>
            </w:r>
          </w:p>
        </w:tc>
        <w:tc>
          <w:tcPr>
            <w:tcW w:type="dxa" w:w="3437"/>
            <w:tcMar>
              <w:top w:w="80" w:type="dxa"/>
              <w:start w:w="90" w:type="dxa"/>
              <w:bottom w:w="80" w:type="dxa"/>
              <w:end w:w="90" w:type="dxa"/>
            </w:tcMar>
            <w:vAlign w:val="top"/>
            <w:shd w:fill="FAFAFB"/>
          </w:tcPr>
          <w:p>
            <w:r>
              <w:rPr>
                <w:rFonts w:ascii="Inter" w:hAnsi="Inter"/>
                <w:b w:val="0"/>
                <w:i w:val="0"/>
                <w:color w:val="0D0F12"/>
                <w:sz w:val="15"/>
              </w:rPr>
              <w:t>Gate de salida ampliado.</w:t>
            </w:r>
          </w:p>
        </w:tc>
      </w:tr>
    </w:tbl>
    <w:p/>
    <w:p>
      <w:pPr>
        <w:pStyle w:val="Heading1"/>
      </w:pPr>
      <w:r>
        <w:t>17. Fuentes y trazabilidad</w:t>
      </w:r>
    </w:p>
    <w:p>
      <w:r>
        <w:rPr>
          <w:rFonts w:ascii="Inter" w:hAnsi="Inter"/>
          <w:b/>
          <w:i w:val="0"/>
          <w:color w:val="6C36FF"/>
          <w:sz w:val="17"/>
        </w:rPr>
        <w:t xml:space="preserve">ACT-01 — </w:t>
      </w:r>
      <w:r>
        <w:rPr>
          <w:rFonts w:ascii="Inter" w:hAnsi="Inter"/>
          <w:b w:val="0"/>
          <w:i w:val="0"/>
          <w:color w:val="0D0F12"/>
          <w:sz w:val="17"/>
        </w:rPr>
        <w:t>Estado_NEXT_DOC_AI_MVP_0.docx. Estado de desarrollo al 5/09/2026; 247 tests; funcionalidades activas y faltantes.</w:t>
      </w:r>
    </w:p>
    <w:p>
      <w:r>
        <w:rPr>
          <w:rFonts w:ascii="Inter" w:hAnsi="Inter"/>
          <w:b/>
          <w:i w:val="0"/>
          <w:color w:val="6C36FF"/>
          <w:sz w:val="17"/>
        </w:rPr>
        <w:t xml:space="preserve">BASE-01 — </w:t>
      </w:r>
      <w:r>
        <w:rPr>
          <w:rFonts w:ascii="Inter" w:hAnsi="Inter"/>
          <w:b w:val="0"/>
          <w:i w:val="0"/>
          <w:color w:val="0D0F12"/>
          <w:sz w:val="17"/>
        </w:rPr>
        <w:t>00_RESUMEN_EJECUTIVO_NEXT_DOC_AI_SRP084_V7_20260823.docx. Define MVP1 con IA Docs + Workflow funcional y roadmap incremental.</w:t>
      </w:r>
    </w:p>
    <w:p>
      <w:r>
        <w:rPr>
          <w:rFonts w:ascii="Inter" w:hAnsi="Inter"/>
          <w:b/>
          <w:i w:val="0"/>
          <w:color w:val="6C36FF"/>
          <w:sz w:val="17"/>
        </w:rPr>
        <w:t xml:space="preserve">BASE-02 — </w:t>
      </w:r>
      <w:r>
        <w:rPr>
          <w:rFonts w:ascii="Inter" w:hAnsi="Inter"/>
          <w:b w:val="0"/>
          <w:i w:val="0"/>
          <w:color w:val="0D0F12"/>
          <w:sz w:val="17"/>
        </w:rPr>
        <w:t>02_PRODUCTO_COMERCIAL_SPR084_NEXT_DOC_AI_V7_20260823.docx. Producto comercial, separación Docs/Flow, arquitectura y monetización.</w:t>
      </w:r>
    </w:p>
    <w:p>
      <w:r>
        <w:rPr>
          <w:rFonts w:ascii="Inter" w:hAnsi="Inter"/>
          <w:b/>
          <w:i w:val="0"/>
          <w:color w:val="6C36FF"/>
          <w:sz w:val="17"/>
        </w:rPr>
        <w:t xml:space="preserve">BASE-03 — </w:t>
      </w:r>
      <w:r>
        <w:rPr>
          <w:rFonts w:ascii="Inter" w:hAnsi="Inter"/>
          <w:b w:val="0"/>
          <w:i w:val="0"/>
          <w:color w:val="0D0F12"/>
          <w:sz w:val="17"/>
        </w:rPr>
        <w:t>ANEXO_G_BASE_EXISTENTE_WORKFLOW_IA_DOCS_MVP_ROADMAP_V7.docx. Matriz KEEP/ADJUST/BUILD y secuencia de sprints.</w:t>
      </w:r>
    </w:p>
    <w:p>
      <w:r>
        <w:rPr>
          <w:rFonts w:ascii="Inter" w:hAnsi="Inter"/>
          <w:b/>
          <w:i w:val="0"/>
          <w:color w:val="6C36FF"/>
          <w:sz w:val="17"/>
        </w:rPr>
        <w:t xml:space="preserve">BASE-04 — </w:t>
      </w:r>
      <w:r>
        <w:rPr>
          <w:rFonts w:ascii="Inter" w:hAnsi="Inter"/>
          <w:b w:val="0"/>
          <w:i w:val="0"/>
          <w:color w:val="0D0F12"/>
          <w:sz w:val="17"/>
        </w:rPr>
        <w:t>N1-SPR084-V7-NEXT_DOC_AI_PRD.docx. Requisitos de producto, Sentinel y templates.</w:t>
      </w:r>
    </w:p>
    <w:p>
      <w:r>
        <w:rPr>
          <w:rFonts w:ascii="Inter" w:hAnsi="Inter"/>
          <w:b/>
          <w:i w:val="0"/>
          <w:color w:val="6C36FF"/>
          <w:sz w:val="17"/>
        </w:rPr>
        <w:t xml:space="preserve">BASE-05 — </w:t>
      </w:r>
      <w:r>
        <w:rPr>
          <w:rFonts w:ascii="Inter" w:hAnsi="Inter"/>
          <w:b w:val="0"/>
          <w:i w:val="0"/>
          <w:color w:val="0D0F12"/>
          <w:sz w:val="17"/>
        </w:rPr>
        <w:t>N2-SPR084-V7-NEXT_DOC_AI_ARQUITECTURA_FLUJOS_ESCENARIOS.docx. Flujos, roles, template recommender y casos externos.</w:t>
      </w:r>
    </w:p>
    <w:p>
      <w:r>
        <w:rPr>
          <w:rFonts w:ascii="Inter" w:hAnsi="Inter"/>
          <w:b/>
          <w:i w:val="0"/>
          <w:color w:val="6C36FF"/>
          <w:sz w:val="17"/>
        </w:rPr>
        <w:t xml:space="preserve">BASE-06 — </w:t>
      </w:r>
      <w:r>
        <w:rPr>
          <w:rFonts w:ascii="Inter" w:hAnsi="Inter"/>
          <w:b w:val="0"/>
          <w:i w:val="0"/>
          <w:color w:val="0D0F12"/>
          <w:sz w:val="17"/>
        </w:rPr>
        <w:t>N3-SPR084-V7-NEXT_DOC_AI_ESPECIFICACION_DESARROLLO_QA_UX.docx. Entidades, APIs, QA y backlog técnico.</w:t>
      </w:r>
    </w:p>
    <w:p>
      <w:r>
        <w:rPr>
          <w:rFonts w:ascii="Inter" w:hAnsi="Inter"/>
          <w:b/>
          <w:i w:val="0"/>
          <w:color w:val="6C36FF"/>
          <w:sz w:val="17"/>
        </w:rPr>
        <w:t xml:space="preserve">BASE-07 — </w:t>
      </w:r>
      <w:r>
        <w:rPr>
          <w:rFonts w:ascii="Inter" w:hAnsi="Inter"/>
          <w:b w:val="0"/>
          <w:i w:val="0"/>
          <w:color w:val="0D0F12"/>
          <w:sz w:val="17"/>
        </w:rPr>
        <w:t>06_BIBLIOTECA_PLANTILLAS_NEXT_DOC_AI_V7_20260823.docx. Catálogo COMEX/Follow y estrategia base + overlays.</w:t>
      </w:r>
    </w:p>
    <w:p>
      <w:r>
        <w:rPr>
          <w:rFonts w:ascii="Inter" w:hAnsi="Inter"/>
          <w:b/>
          <w:i w:val="0"/>
          <w:color w:val="6C36FF"/>
          <w:sz w:val="17"/>
        </w:rPr>
        <w:t xml:space="preserve">BASE-08 — </w:t>
      </w:r>
      <w:r>
        <w:rPr>
          <w:rFonts w:ascii="Inter" w:hAnsi="Inter"/>
          <w:b w:val="0"/>
          <w:i w:val="0"/>
          <w:color w:val="0D0F12"/>
          <w:sz w:val="17"/>
        </w:rPr>
        <w:t>00 Manual Workflow original - MODULO WORKFLOW.docx. Base funcional histórica de procesos, terceros, formularios y documentación.</w:t>
      </w:r>
    </w:p>
    <w:p>
      <w:r>
        <w:rPr>
          <w:rFonts w:ascii="Inter" w:hAnsi="Inter"/>
          <w:b/>
          <w:i w:val="0"/>
          <w:color w:val="6C36FF"/>
          <w:sz w:val="17"/>
        </w:rPr>
        <w:t xml:space="preserve">BASE-09 — </w:t>
      </w:r>
      <w:r>
        <w:rPr>
          <w:rFonts w:ascii="Inter" w:hAnsi="Inter"/>
          <w:b w:val="0"/>
          <w:i w:val="0"/>
          <w:color w:val="0D0F12"/>
          <w:sz w:val="17"/>
        </w:rPr>
        <w:t>05_BENCHMARK_NEXT_DOC_AI_DOCSOLUTIONS_DOCFLOW_DMS_ABBYY_DIGIX_V7_20260823.docx. Benchmark V7 y estrategia de templates/marketplace.</w:t>
      </w:r>
    </w:p>
    <w:p>
      <w:r>
        <w:rPr>
          <w:rFonts w:ascii="Inter" w:hAnsi="Inter"/>
          <w:b/>
          <w:i w:val="0"/>
          <w:color w:val="6C36FF"/>
          <w:sz w:val="17"/>
        </w:rPr>
        <w:t xml:space="preserve">WEB-01 — </w:t>
      </w:r>
      <w:r>
        <w:rPr>
          <w:rFonts w:ascii="Inter" w:hAnsi="Inter"/>
          <w:b w:val="0"/>
          <w:i w:val="0"/>
          <w:color w:val="0D0F12"/>
          <w:sz w:val="17"/>
        </w:rPr>
        <w:t>DigiX. https://www.digix.com.ar/ — consulta 06/09/2026.</w:t>
      </w:r>
    </w:p>
    <w:p>
      <w:r>
        <w:rPr>
          <w:rFonts w:ascii="Inter" w:hAnsi="Inter"/>
          <w:b/>
          <w:i w:val="0"/>
          <w:color w:val="6C36FF"/>
          <w:sz w:val="17"/>
        </w:rPr>
        <w:t xml:space="preserve">WEB-02 — </w:t>
      </w:r>
      <w:r>
        <w:rPr>
          <w:rFonts w:ascii="Inter" w:hAnsi="Inter"/>
          <w:b w:val="0"/>
          <w:i w:val="0"/>
          <w:color w:val="0D0F12"/>
          <w:sz w:val="17"/>
        </w:rPr>
        <w:t>ABBYY Vantage / Vantage 3. https://www.abbyy.com/vantage/ y soporte Vantage 3 — consulta 06/09/2026.</w:t>
      </w:r>
    </w:p>
    <w:p>
      <w:r>
        <w:rPr>
          <w:rFonts w:ascii="Inter" w:hAnsi="Inter"/>
          <w:b/>
          <w:i w:val="0"/>
          <w:color w:val="6C36FF"/>
          <w:sz w:val="17"/>
        </w:rPr>
        <w:t xml:space="preserve">WEB-03 — </w:t>
      </w:r>
      <w:r>
        <w:rPr>
          <w:rFonts w:ascii="Inter" w:hAnsi="Inter"/>
          <w:b w:val="0"/>
          <w:i w:val="0"/>
          <w:color w:val="0D0F12"/>
          <w:sz w:val="17"/>
        </w:rPr>
        <w:t>DocFlow.ai. https://docflow.ai/ — consulta 06/09/2026.</w:t>
      </w:r>
    </w:p>
    <w:p>
      <w:r>
        <w:rPr>
          <w:rFonts w:ascii="Inter" w:hAnsi="Inter"/>
          <w:b/>
          <w:i w:val="0"/>
          <w:color w:val="6C36FF"/>
          <w:sz w:val="17"/>
        </w:rPr>
        <w:t xml:space="preserve">WEB-04 — </w:t>
      </w:r>
      <w:r>
        <w:rPr>
          <w:rFonts w:ascii="Inter" w:hAnsi="Inter"/>
          <w:b w:val="0"/>
          <w:i w:val="0"/>
          <w:color w:val="0D0F12"/>
          <w:sz w:val="17"/>
        </w:rPr>
        <w:t>Despapeliza. https://despapeliza.io/ — consulta 06/09/2026.</w:t>
      </w:r>
    </w:p>
    <w:p>
      <w:r>
        <w:rPr>
          <w:rFonts w:ascii="Inter" w:hAnsi="Inter"/>
          <w:b/>
          <w:i w:val="0"/>
          <w:color w:val="6C36FF"/>
          <w:sz w:val="17"/>
        </w:rPr>
        <w:t xml:space="preserve">WEB-05 — </w:t>
      </w:r>
      <w:r>
        <w:rPr>
          <w:rFonts w:ascii="Inter" w:hAnsi="Inter"/>
          <w:b w:val="0"/>
          <w:i w:val="0"/>
          <w:color w:val="0D0F12"/>
          <w:sz w:val="17"/>
        </w:rPr>
        <w:t>Rossum Marketplace / Document AI. https://rossum.ai/ — consulta 06/09/2026.</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5040"/>
        </w:tcPr>
        <w:p>
          <w:pPr>
            <w:jc w:val="left"/>
          </w:pPr>
          <w:r>
            <w:rPr>
              <w:rFonts w:ascii="Inter" w:hAnsi="Inter"/>
              <w:b w:val="0"/>
              <w:i w:val="0"/>
              <w:color w:val="6C36FF"/>
              <w:sz w:val="14"/>
            </w:rPr>
            <w:t>Tus documentos saben qué hacer después.</w:t>
          </w:r>
        </w:p>
      </w:tc>
      <w:tc>
        <w:tcPr>
          <w:tcW w:type="dxa" w:w="5040"/>
        </w:tcPr>
        <w:p>
          <w:pPr>
            <w:jc w:val="right"/>
          </w:pPr>
          <w:r>
            <w:rPr>
              <w:rFonts w:ascii="Inter" w:hAnsi="Inter"/>
              <w:b w:val="0"/>
              <w:i w:val="0"/>
              <w:color w:val="6B7280"/>
              <w:sz w:val="14"/>
            </w:rPr>
            <w:t>Septiembre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val="0"/>
        <w:i w:val="0"/>
        <w:color w:val="6B7280"/>
        <w:sz w:val="14"/>
      </w:rPr>
      <w:t>NEXT DOC AI  |  Cierre MVP0 Comercial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0D0F1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Display" w:hAnsi="Inter Display"/>
      <w:b/>
      <w:bCs/>
      <w:color w:val="0D0F1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Display" w:hAnsi="Inter Display"/>
      <w:b/>
      <w:bCs/>
      <w:color w:val="6C36FF"/>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Display" w:hAnsi="Inter Display"/>
      <w:b/>
      <w:bCs/>
      <w:color w:val="FF1E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Inter Display" w:hAnsi="Inter Display"/>
      <w:b/>
      <w:color w:val="0D0F1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Inter" w:hAnsi="Inter"/>
      <w:b/>
      <w:color w:val="6B728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