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200400" cy="9251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xtdoc_logo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9251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Inter" w:hAnsi="Inter"/>
          <w:b/>
          <w:i w:val="0"/>
          <w:color w:val="6C36FF"/>
          <w:sz w:val="17"/>
        </w:rPr>
        <w:t>ANEXO FUNCIONAL DE PRODUCTO</w:t>
      </w:r>
    </w:p>
    <w:p>
      <w:pPr>
        <w:pStyle w:val="Title"/>
        <w:spacing w:after="160"/>
      </w:pPr>
      <w:r>
        <w:rPr>
          <w:rFonts w:ascii="Inter Display" w:hAnsi="Inter Display"/>
          <w:b/>
          <w:i w:val="0"/>
          <w:color w:val="0D0F12"/>
          <w:sz w:val="54"/>
        </w:rPr>
        <w:t>NEXT DOC AI — Biblioteca COMEX MVP0</w:t>
      </w:r>
    </w:p>
    <w:p>
      <w:r>
        <w:rPr>
          <w:rFonts w:ascii="Inter" w:hAnsi="Inter"/>
          <w:b w:val="0"/>
          <w:i w:val="0"/>
          <w:color w:val="6B7280"/>
          <w:sz w:val="24"/>
        </w:rPr>
        <w:t>Plantillas estructuradas de importación/exportación, multimodalidad, overlays de carga y conexión con Follow</w:t>
      </w: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F3EE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Inter" w:hAnsi="Inter"/>
                <w:b/>
                <w:i w:val="0"/>
                <w:color w:val="6C36FF"/>
                <w:sz w:val="18"/>
              </w:rPr>
              <w:t>Anexo al cierre del MVP0 Comercial  •  6 de septiembre de 2026</w:t>
            </w:r>
          </w:p>
        </w:tc>
      </w:tr>
    </w:tbl>
    <w:p/>
    <w:p>
      <w:r>
        <w:rPr>
          <w:rFonts w:ascii="Inter" w:hAnsi="Inter"/>
          <w:b w:val="0"/>
          <w:i w:val="0"/>
          <w:color w:val="6B7280"/>
          <w:sz w:val="17"/>
        </w:rPr>
        <w:t>Base analizada: Estado NEXT DOC AI MVP0 (05/09/2026) + Base Proyecto Next Doc AI V7 + benchmark público actualizado.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F3EE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Inter" w:hAnsi="Inter"/>
                <w:b/>
                <w:i w:val="0"/>
                <w:color w:val="6C36FF"/>
                <w:sz w:val="18"/>
              </w:rPr>
              <w:t xml:space="preserve">Objetivo del anexo — </w:t>
            </w:r>
            <w:r>
              <w:rPr>
                <w:rFonts w:ascii="Inter" w:hAnsi="Inter"/>
                <w:b w:val="0"/>
                <w:i w:val="0"/>
                <w:color w:val="0D0F12"/>
                <w:sz w:val="18"/>
              </w:rPr>
              <w:t>Convertir la biblioteca V7 en un paquete implementable y testeable para importadores, exportadores y forwarders, reutilizable tanto standalone como integrado con Follow. Las plantillas son configuraciones de producto; los documentos aduaneros/regulatorios concretos se parametrizan por país, ruta, producto y operación.</w:t>
            </w:r>
          </w:p>
        </w:tc>
      </w:tr>
    </w:tbl>
    <w:p/>
    <w:p>
      <w:pPr>
        <w:pStyle w:val="Heading1"/>
      </w:pPr>
      <w:r>
        <w:t>1. Principios de diseño de la biblioteca</w:t>
      </w:r>
    </w:p>
    <w:p>
      <w:pPr>
        <w:pStyle w:val="ListBullet"/>
      </w:pPr>
      <w:r>
        <w:rPr>
          <w:rFonts w:ascii="Inter" w:hAnsi="Inter"/>
          <w:b w:val="0"/>
          <w:i w:val="0"/>
          <w:color w:val="0D0F12"/>
          <w:sz w:val="18"/>
        </w:rPr>
        <w:t>Evitar una plantilla distinta para cada combinación. Usar Plantilla Base + Overlay de carga/regulatorio + Subproceso reusable.</w:t>
      </w:r>
    </w:p>
    <w:p>
      <w:pPr>
        <w:pStyle w:val="ListBullet"/>
      </w:pPr>
      <w:r>
        <w:rPr>
          <w:rFonts w:ascii="Inter" w:hAnsi="Inter"/>
          <w:b w:val="0"/>
          <w:i w:val="0"/>
          <w:color w:val="0D0F12"/>
          <w:sz w:val="18"/>
        </w:rPr>
        <w:t>Las plantillas publicadas son inmutables; cada instancia queda fijada a una versión.</w:t>
      </w:r>
    </w:p>
    <w:p>
      <w:pPr>
        <w:pStyle w:val="ListBullet"/>
      </w:pPr>
      <w:r>
        <w:rPr>
          <w:rFonts w:ascii="Inter" w:hAnsi="Inter"/>
          <w:b w:val="0"/>
          <w:i w:val="0"/>
          <w:color w:val="0D0F12"/>
          <w:sz w:val="18"/>
        </w:rPr>
        <w:t>Los clientes pueden adaptar mediante fork/overlay sin modificar la plantilla original del publisher.</w:t>
      </w:r>
    </w:p>
    <w:p>
      <w:pPr>
        <w:pStyle w:val="ListBullet"/>
      </w:pPr>
      <w:r>
        <w:rPr>
          <w:rFonts w:ascii="Inter" w:hAnsi="Inter"/>
          <w:b w:val="0"/>
          <w:i w:val="0"/>
          <w:color w:val="0D0F12"/>
          <w:sz w:val="18"/>
        </w:rPr>
        <w:t>El motor IA Docs recibe schema y reglas desde el paso/document requirement; Workflow no duplica extracción.</w:t>
      </w:r>
    </w:p>
    <w:p>
      <w:pPr>
        <w:pStyle w:val="ListBullet"/>
      </w:pPr>
      <w:r>
        <w:rPr>
          <w:rFonts w:ascii="Inter" w:hAnsi="Inter"/>
          <w:b w:val="0"/>
          <w:i w:val="0"/>
          <w:color w:val="0D0F12"/>
          <w:sz w:val="18"/>
        </w:rPr>
        <w:t>La IA Supervisora ejecuta controles declarados por plantilla y genera tareas/alertas auditables.</w:t>
      </w:r>
    </w:p>
    <w:p>
      <w:pPr>
        <w:pStyle w:val="ListBullet"/>
      </w:pPr>
      <w:r>
        <w:rPr>
          <w:rFonts w:ascii="Inter" w:hAnsi="Inter"/>
          <w:b w:val="0"/>
          <w:i w:val="0"/>
          <w:color w:val="0D0F12"/>
          <w:sz w:val="18"/>
        </w:rPr>
        <w:t>Follow envía contexto canónico y solicita recomendación; no conoce nombres hardcodeados.</w:t>
      </w:r>
    </w:p>
    <w:p>
      <w:pPr>
        <w:pStyle w:val="ListBullet"/>
      </w:pPr>
      <w:r>
        <w:rPr>
          <w:rFonts w:ascii="Inter" w:hAnsi="Inter"/>
          <w:b w:val="0"/>
          <w:i w:val="0"/>
          <w:color w:val="0D0F12"/>
          <w:sz w:val="18"/>
        </w:rPr>
        <w:t>Los nombres y requisitos aduaneros deben parametrizarse por país y ser validados por especialista local.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63016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template_taxonom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6301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Inter" w:hAnsi="Inter"/>
          <w:b w:val="0"/>
          <w:i/>
          <w:color w:val="6B7280"/>
          <w:sz w:val="15"/>
        </w:rPr>
        <w:t>Figura A1 — Taxonomía composable de plantillas COMEX.</w:t>
      </w:r>
    </w:p>
    <w:p>
      <w:pPr>
        <w:pStyle w:val="Heading1"/>
      </w:pPr>
      <w:r>
        <w:t>2. Contrato estándar de una plantilla de proceso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DE5"/>
          <w:left w:val="single" w:sz="6" w:space="0" w:color="D9DDE5"/>
          <w:bottom w:val="single" w:sz="6" w:space="0" w:color="D9DDE5"/>
          <w:right w:val="single" w:sz="6" w:space="0" w:color="D9DDE5"/>
          <w:insideH w:val="single" w:sz="6" w:space="0" w:color="D9DDE5"/>
          <w:insideV w:val="single" w:sz="6" w:space="0" w:color="D9DDE5"/>
        </w:tblBorders>
      </w:tblPr>
      <w:tblGrid>
        <w:gridCol w:w="5155"/>
        <w:gridCol w:w="5155"/>
      </w:tblGrid>
      <w:tr>
        <w:trPr>
          <w:tblHeader w:val="true"/>
        </w:trPr>
        <w:tc>
          <w:tcPr>
            <w:tcW w:type="dxa" w:w="5155"/>
            <w:shd w:fill="0D0F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6"/>
              </w:rPr>
              <w:t>Sección manifest</w:t>
            </w:r>
          </w:p>
        </w:tc>
        <w:tc>
          <w:tcPr>
            <w:tcW w:type="dxa" w:w="5155"/>
            <w:shd w:fill="0D0F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6"/>
              </w:rPr>
              <w:t>Contenido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6"/>
              </w:rPr>
              <w:t>identity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6"/>
              </w:rPr>
              <w:t>code, family, direction, mode, name, description, owner, author, version, status.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6"/>
              </w:rPr>
              <w:t>applicability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6"/>
              </w:rPr>
              <w:t>country/region, direction, mode, logistic_unit, cargo_profile, industry/product flags.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6"/>
              </w:rPr>
              <w:t>participants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6"/>
              </w:rPr>
              <w:t>internal roles, external roles, assignment defaults, escalation groups.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6"/>
              </w:rPr>
              <w:t>graph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6"/>
              </w:rPr>
              <w:t>steps/nodes, dependencies, branches, subflows, timers, completion policy.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6"/>
              </w:rPr>
              <w:t>documents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6"/>
              </w:rPr>
              <w:t>required/conditional document types, source, expected format, retention class.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6"/>
              </w:rPr>
              <w:t>forms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6"/>
              </w:rPr>
              <w:t>structured fields, validations, mandatory flags, evidence requirements.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6"/>
              </w:rPr>
              <w:t>ai_docs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6"/>
              </w:rPr>
              <w:t>schema version, prompt/extractor policy, threshold per field, classification policy.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6"/>
              </w:rPr>
              <w:t>supervisor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6"/>
              </w:rPr>
              <w:t>cross-doc rules, SLA rules, sequence rules, severity, blocking policy, actions.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6"/>
              </w:rPr>
              <w:t>integrations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6"/>
              </w:rPr>
              <w:t>Follow context mapping, ERP/forwarder API actions, webhooks/events.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6"/>
              </w:rPr>
              <w:t>notifications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6"/>
              </w:rPr>
              <w:t>templates, recipients, escalation, digest/critical policy.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6"/>
              </w:rPr>
              <w:t>tests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6"/>
              </w:rPr>
              <w:t>fixtures, gold data, negative cases, expected path, expected exceptions.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6"/>
              </w:rPr>
              <w:t>marketplace metadata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6"/>
              </w:rPr>
              <w:t>visibility, provenance, fork policy, tags, localization, license/price placeholders.</w:t>
            </w:r>
          </w:p>
        </w:tc>
      </w:tr>
    </w:tbl>
    <w:p/>
    <w:p>
      <w:pPr>
        <w:pStyle w:val="Heading1"/>
      </w:pPr>
      <w:r>
        <w:t>3. Maestros de contexto para recomendación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DE5"/>
          <w:left w:val="single" w:sz="6" w:space="0" w:color="D9DDE5"/>
          <w:bottom w:val="single" w:sz="6" w:space="0" w:color="D9DDE5"/>
          <w:right w:val="single" w:sz="6" w:space="0" w:color="D9DDE5"/>
          <w:insideH w:val="single" w:sz="6" w:space="0" w:color="D9DDE5"/>
          <w:insideV w:val="single" w:sz="6" w:space="0" w:color="D9DDE5"/>
        </w:tblBorders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0D0F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Dimensión</w:t>
            </w:r>
          </w:p>
        </w:tc>
        <w:tc>
          <w:tcPr>
            <w:tcW w:type="dxa" w:w="3437"/>
            <w:shd w:fill="0D0F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Valores soportados por la Base V7</w:t>
            </w:r>
          </w:p>
        </w:tc>
        <w:tc>
          <w:tcPr>
            <w:tcW w:type="dxa" w:w="3437"/>
            <w:shd w:fill="0D0F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Regla</w:t>
            </w:r>
          </w:p>
        </w:tc>
      </w:tr>
      <w:tr>
        <w:trPr>
          <w:cantSplit/>
        </w:trP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Ámbito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Internacional (y Nacional fuera de COMEX)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COMEX se activa para operaciones internacionales.</w:t>
            </w:r>
          </w:p>
        </w:tc>
      </w:tr>
      <w:tr>
        <w:trPr>
          <w:cantSplit/>
        </w:trP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Dirección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Exportación / Importación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Define actor iniciador y sentido del expediente.</w:t>
            </w:r>
          </w:p>
        </w:tc>
      </w:tr>
      <w:tr>
        <w:trPr>
          <w:cantSplit/>
        </w:trP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Modalidad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Terrestre / Marítimo / Aéreo / Multimodal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MVP0 agrega Multimodal explícito.</w:t>
            </w:r>
          </w:p>
        </w:tc>
      </w:tr>
      <w:tr>
        <w:trPr>
          <w:cantSplit/>
        </w:trP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Unidad logística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FTL/LTL, FCL/LCL, contenedor, ULD, pallets, bultos, granel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Usar IDs canónicos Follow cuando exista integración.</w:t>
            </w:r>
          </w:p>
        </w:tc>
      </w:tr>
      <w:tr>
        <w:trPr>
          <w:cantSplit/>
        </w:trP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Perfil de carga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General, reefer, peligrosa, alimentos/agro, sobredimensionada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Overlays V7.</w:t>
            </w:r>
          </w:p>
        </w:tc>
      </w:tr>
      <w:tr>
        <w:trPr>
          <w:cantSplit/>
        </w:trP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Operación Follow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Pedido→Carga, recolección, POD, contenedor, marketplace, YMS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Subprocesos logísticos.</w:t>
            </w:r>
          </w:p>
        </w:tc>
      </w:tr>
      <w:tr>
        <w:trPr>
          <w:cantSplit/>
        </w:trP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Flags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retorno contenedor, ticket balanza, firma, destinatario, documentación especial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Activadores adicionales.</w:t>
            </w:r>
          </w:p>
        </w:tc>
      </w:tr>
    </w:tbl>
    <w:p/>
    <w:p>
      <w:pPr>
        <w:pStyle w:val="Heading1"/>
      </w:pPr>
      <w:r>
        <w:t>4. Catálogo documental común COMEX</w:t>
      </w:r>
    </w:p>
    <w:p>
      <w:r>
        <w:rPr>
          <w:rFonts w:ascii="Inter" w:hAnsi="Inter"/>
          <w:b w:val="0"/>
          <w:i w:val="0"/>
          <w:color w:val="0D0F12"/>
          <w:sz w:val="18"/>
        </w:rPr>
        <w:t>El catálogo siguiente no implica que todos los documentos sean obligatorios en todas las jurisdicciones. Se modelan como tipos/evidencias disponibles y la plantilla/overlay decide obligatoriedad por país, modalidad, producto, Incoterm, ruta y contrato.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DE5"/>
          <w:left w:val="single" w:sz="6" w:space="0" w:color="D9DDE5"/>
          <w:bottom w:val="single" w:sz="6" w:space="0" w:color="D9DDE5"/>
          <w:right w:val="single" w:sz="6" w:space="0" w:color="D9DDE5"/>
          <w:insideH w:val="single" w:sz="6" w:space="0" w:color="D9DDE5"/>
          <w:insideV w:val="single" w:sz="6" w:space="0" w:color="D9DDE5"/>
        </w:tblBorders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0D0F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Grupo</w:t>
            </w:r>
          </w:p>
        </w:tc>
        <w:tc>
          <w:tcPr>
            <w:tcW w:type="dxa" w:w="3437"/>
            <w:shd w:fill="0D0F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Documentos/evidencias</w:t>
            </w:r>
          </w:p>
        </w:tc>
        <w:tc>
          <w:tcPr>
            <w:tcW w:type="dxa" w:w="3437"/>
            <w:shd w:fill="0D0F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Facts principales</w:t>
            </w:r>
          </w:p>
        </w:tc>
      </w:tr>
      <w:tr>
        <w:trPr>
          <w:cantSplit/>
        </w:trP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Comercial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Purchase Order / Sales Order, Proforma, Commercial Invoice, Packing List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Partes, referencias, ítems, cantidades, unidades, pesos, valores, moneda, Incoterm.</w:t>
            </w:r>
          </w:p>
        </w:tc>
      </w:tr>
      <w:tr>
        <w:trPr>
          <w:cantSplit/>
        </w:trP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Marítimo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Booking, Shipping Instruction, BL/HBL/MBL o Sea Waybill, VGM, gate/EIR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Booking, shipper/consignee, puertos, contenedor/sello, peso, voyage, dates.</w:t>
            </w:r>
          </w:p>
        </w:tc>
      </w:tr>
      <w:tr>
        <w:trPr>
          <w:cantSplit/>
        </w:trP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Aéreo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Booking, AWB/HAWB/MAWB, terminal receipt, cargo manifest cuando aplique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AWB, airport origin/destination, pieces, gross/chargeable weight, flight.</w:t>
            </w:r>
          </w:p>
        </w:tc>
      </w:tr>
      <w:tr>
        <w:trPr>
          <w:cantSplit/>
        </w:trP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Terrestre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Carta de porte/consignment note y documentos de tránsito según ruta (p.ej. CRT/MIC-DTA donde corresponda)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Partes, vehículo, bultos/peso, frontera/ruta, referencias de operación.</w:t>
            </w:r>
          </w:p>
        </w:tc>
      </w:tr>
      <w:tr>
        <w:trPr>
          <w:cantSplit/>
        </w:trP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Multimodal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Multimodal/through transport document; FIATA FBL/FWB cuando corresponda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MTO/forwarder, tramos, origen/destino, unidades, referencias por modo.</w:t>
            </w:r>
          </w:p>
        </w:tc>
      </w:tr>
      <w:tr>
        <w:trPr>
          <w:cantSplit/>
        </w:trP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Aduana/regulatorio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Declaración aduanera, permisos/licencias, certificados de origen, SPS/calidad, DG, otros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Referencias, partidas/clasificación declarada, país, vigencia, autoridad, producto.</w:t>
            </w:r>
          </w:p>
        </w:tc>
      </w:tr>
      <w:tr>
        <w:trPr>
          <w:cantSplit/>
        </w:trP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Seguro/finanzas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Seguro/certificado, LC/payment docs cuando aplique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Cobertura, partes, monto/moneda, referencia comercial.</w:t>
            </w:r>
          </w:p>
        </w:tc>
      </w:tr>
      <w:tr>
        <w:trPr>
          <w:cantSplit/>
        </w:trP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Entrega/cierre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Release, POD, recepción, EIR/retorno contenedor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Fecha/hora, receptor, estado, daños/observaciones, equipo devuelto.</w:t>
            </w:r>
          </w:p>
        </w:tc>
      </w:tr>
    </w:tbl>
    <w:p/>
    <w:p>
      <w:pPr>
        <w:pStyle w:val="Heading1"/>
      </w:pPr>
      <w:r>
        <w:t>5. Roles tipo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DE5"/>
          <w:left w:val="single" w:sz="6" w:space="0" w:color="D9DDE5"/>
          <w:bottom w:val="single" w:sz="6" w:space="0" w:color="D9DDE5"/>
          <w:right w:val="single" w:sz="6" w:space="0" w:color="D9DDE5"/>
          <w:insideH w:val="single" w:sz="6" w:space="0" w:color="D9DDE5"/>
          <w:insideV w:val="single" w:sz="6" w:space="0" w:color="D9DDE5"/>
        </w:tblBorders>
      </w:tblPr>
      <w:tblGrid>
        <w:gridCol w:w="5155"/>
        <w:gridCol w:w="5155"/>
      </w:tblGrid>
      <w:tr>
        <w:trPr>
          <w:tblHeader w:val="true"/>
        </w:trPr>
        <w:tc>
          <w:tcPr>
            <w:tcW w:type="dxa" w:w="5155"/>
            <w:shd w:fill="0D0F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6"/>
              </w:rPr>
              <w:t>Categoría</w:t>
            </w:r>
          </w:p>
        </w:tc>
        <w:tc>
          <w:tcPr>
            <w:tcW w:type="dxa" w:w="5155"/>
            <w:shd w:fill="0D0F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6"/>
              </w:rPr>
              <w:t>Roles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6"/>
              </w:rPr>
              <w:t>Internos exportador/importador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6"/>
              </w:rPr>
              <w:t>Administración/Compras, Comercial, Producción, Depósito, COMEX, Finanzas, Calidad/Regulatorio, Recepción.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6"/>
              </w:rPr>
              <w:t>Externos recurrentes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6"/>
              </w:rPr>
              <w:t>Despachante/agente de aduana, forwarder, transportista/ATA, depósito/CFS, agente de carga, cliente/proveedor.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6"/>
              </w:rPr>
              <w:t>Externos por acción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6"/>
              </w:rPr>
              <w:t>Naviera/aerolínea/terminal, inspector, aseguradora, certificador, destinatario/recepción.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6"/>
              </w:rPr>
              <w:t>Partner configurador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6"/>
              </w:rPr>
              <w:t>Consultor COMEX/implementador NEXT DOC AI con delegación temporal o por alcance.</w:t>
            </w:r>
          </w:p>
        </w:tc>
      </w:tr>
    </w:tbl>
    <w:p/>
    <w:p>
      <w:pPr>
        <w:pStyle w:val="Heading1"/>
      </w:pPr>
      <w:r>
        <w:t>6. Controles IA Supervisora comunes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DE5"/>
          <w:left w:val="single" w:sz="6" w:space="0" w:color="D9DDE5"/>
          <w:bottom w:val="single" w:sz="6" w:space="0" w:color="D9DDE5"/>
          <w:right w:val="single" w:sz="6" w:space="0" w:color="D9DDE5"/>
          <w:insideH w:val="single" w:sz="6" w:space="0" w:color="D9DDE5"/>
          <w:insideV w:val="single" w:sz="6" w:space="0" w:color="D9DDE5"/>
        </w:tblBorders>
      </w:tblPr>
      <w:tblGrid>
        <w:gridCol w:w="5155"/>
        <w:gridCol w:w="5155"/>
      </w:tblGrid>
      <w:tr>
        <w:trPr>
          <w:tblHeader w:val="true"/>
        </w:trPr>
        <w:tc>
          <w:tcPr>
            <w:tcW w:type="dxa" w:w="5155"/>
            <w:shd w:fill="0D0F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Regla común</w:t>
            </w:r>
          </w:p>
        </w:tc>
        <w:tc>
          <w:tcPr>
            <w:tcW w:type="dxa" w:w="5155"/>
            <w:shd w:fill="0D0F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IDENTITY/REFERENCE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PO/SO, shipment, invoice, booking, BL/AWB/road doc refieren la misma operación/partes.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LINE ITEMS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SKU/descripción/HS declarado, cantidad y UOM consistentes entre packing/invoice/declaración según regla.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PACKAGES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Bultos/pallets/marks &amp; numbers consistentes.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WEIGHT/VOLUME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Net/gross/chargeable weight, volumen y tolerancias configuradas.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VALUE/CURRENCY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Totales, moneda, subtotales y referencias contractuales.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INCOTERM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Incoterm y lugar nombrado consistentes entre documentos configurados.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PARTIES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Exporter/importer/shipper/consignee/notify party según contexto.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EQUIPMENT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Contenedor, sello, patente/vehículo, ULD cuando aplique.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DATES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Booking/cut-off, emisión, embarque, frontera, arribo, vigencias y secuencia.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MANDATORY DOCS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Documento obligatorio por plantilla/overlay antes de transición.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VERSION IMPACT v0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Si cambia un upstream marcado, re-ejecutar sólo reglas directas configuradas y abrir review task.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SLA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Warning/escalation por tarea, documento o hito.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53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comex_generic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5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Inter" w:hAnsi="Inter"/>
          <w:b w:val="0"/>
          <w:i/>
          <w:color w:val="6B7280"/>
          <w:sz w:val="15"/>
        </w:rPr>
        <w:t>Figura A2 — Macroflujo común; cada modalidad sustituye el bloque de transporte y sus evidencias.</w:t>
      </w:r>
    </w:p>
    <w:p>
      <w:pPr>
        <w:pStyle w:val="Heading1"/>
      </w:pPr>
      <w:r>
        <w:t>7. Plantillas base — Exportación</w:t>
      </w:r>
    </w:p>
    <w:p>
      <w:pPr>
        <w:pStyle w:val="Heading2"/>
      </w:pPr>
      <w:r>
        <w:t>COMEX-EX-MAR-FCL — Exportación marítima FCL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DE5"/>
          <w:left w:val="single" w:sz="6" w:space="0" w:color="D9DDE5"/>
          <w:bottom w:val="single" w:sz="6" w:space="0" w:color="D9DDE5"/>
          <w:right w:val="single" w:sz="6" w:space="0" w:color="D9DDE5"/>
          <w:insideH w:val="single" w:sz="6" w:space="0" w:color="D9DDE5"/>
          <w:insideV w:val="single" w:sz="6" w:space="0" w:color="D9DDE5"/>
        </w:tblBorders>
      </w:tblPr>
      <w:tblGrid>
        <w:gridCol w:w="5155"/>
        <w:gridCol w:w="5155"/>
      </w:tblGrid>
      <w:tr>
        <w:trPr>
          <w:tblHeader w:val="true"/>
        </w:trPr>
        <w:tc>
          <w:tcPr>
            <w:tcW w:type="dxa" w:w="5155"/>
            <w:shd w:fill="6C36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5155"/>
            <w:shd w:fill="6C36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Definición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Dirección / modalidad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Exportación / Marítimo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Perfil base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Contenedor completo / FCL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Trigger / contexto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Operación internacional + Sea + FCL.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Etapas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PO/SO o Proforma → Packing → Commercial Invoice → Booking/SI → stuffing/sello → VGM → Aduana → pre-carriage/gate → BL → embarque → expediente.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Documentos base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Proforma/PO, Packing List, Commercial Invoice, Booking/SI, declaración aduanera, BL/Sea Waybill, evidencia gate/embarque.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Documentos condicionales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VGM para contenedor SOLAS; certificado origen/SPS/calidad; DG; seguro; permisos/licencias; EIR.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Roles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Internos: Administración/Comercial, Producción/Depósito, COMEX. Externos: despachante, forwarder/carrier, transportista/ATA; otros según operación.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IA Docs / facts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Partes, referencias, ítems, cantidades/UOM, bultos, pesos, volumen, valores/moneda, Incoterm, fechas y referencias de transporte.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IA Supervisora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Packing↔Invoice↔Aduana; obligatoriedad por etapa; confidence; SLA; versión upstream; parties/references. Control contenedor/sello y VGM previo a load.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Integración Follow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Context: international/export/sea/FCL; subject_ref Pedido/Carga; opcional FOL-CONTAINER y recolección.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Cierre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BL/sea transport doc validado + hito embarque + excepciones bloqueantes resueltas.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Overlays compatibles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REEFER, DG, FOOD, OVERSIZE, CONT-RETURN, firma, documentación especial.</w:t>
            </w:r>
          </w:p>
        </w:tc>
      </w:tr>
    </w:tbl>
    <w:p/>
    <w:p>
      <w:pPr>
        <w:pStyle w:val="Heading2"/>
      </w:pPr>
      <w:r>
        <w:t>COMEX-EX-MAR-LCL — Exportación marítima LCL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DE5"/>
          <w:left w:val="single" w:sz="6" w:space="0" w:color="D9DDE5"/>
          <w:bottom w:val="single" w:sz="6" w:space="0" w:color="D9DDE5"/>
          <w:right w:val="single" w:sz="6" w:space="0" w:color="D9DDE5"/>
          <w:insideH w:val="single" w:sz="6" w:space="0" w:color="D9DDE5"/>
          <w:insideV w:val="single" w:sz="6" w:space="0" w:color="D9DDE5"/>
        </w:tblBorders>
      </w:tblPr>
      <w:tblGrid>
        <w:gridCol w:w="5155"/>
        <w:gridCol w:w="5155"/>
      </w:tblGrid>
      <w:tr>
        <w:trPr>
          <w:tblHeader w:val="true"/>
        </w:trPr>
        <w:tc>
          <w:tcPr>
            <w:tcW w:type="dxa" w:w="5155"/>
            <w:shd w:fill="6C36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5155"/>
            <w:shd w:fill="6C36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Definición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Dirección / modalidad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Exportación / Marítimo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Perfil base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Consolidado / LCL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Trigger / contexto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Operación internacional + Sea + LCL.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Etapas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Proforma/PO → Packing → Invoice → booking consolidado → Aduana → entrega CFS/depósito → HBL/MBL/BL → embarque → cierre.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Documentos base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Packing, Invoice, booking, aduana, receipt CFS, HBL/BL según contrato.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Documentos condicionales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Origen/SPS/DG/seguro/licencias.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Roles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Internos: Administración/Comercial, Producción/Depósito, COMEX. Externos: despachante, forwarder/carrier, transportista/ATA; otros según operación.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IA Docs / facts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Partes, referencias, ítems, cantidades/UOM, bultos, pesos, volumen, valores/moneda, Incoterm, fechas y referencias de transporte.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IA Supervisora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Packing↔Invoice↔Aduana; obligatoriedad por etapa; confidence; SLA; versión upstream; parties/references. Bultos/peso/volumen/marks y cut-off de consolidación.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Integración Follow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Context export/sea/LCL; puede añadir FOL-RECOLLECTION para pre-carriage.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Cierre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HBL/BL + receipt/embarque + cierre de tareas.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Overlays compatibles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REEFER cuando admisible, DG, FOOD, firma, documentación especial.</w:t>
            </w:r>
          </w:p>
        </w:tc>
      </w:tr>
    </w:tbl>
    <w:p/>
    <w:p>
      <w:pPr>
        <w:pStyle w:val="Heading2"/>
      </w:pPr>
      <w:r>
        <w:t>COMEX-EX-AIR — Exportación aérea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DE5"/>
          <w:left w:val="single" w:sz="6" w:space="0" w:color="D9DDE5"/>
          <w:bottom w:val="single" w:sz="6" w:space="0" w:color="D9DDE5"/>
          <w:right w:val="single" w:sz="6" w:space="0" w:color="D9DDE5"/>
          <w:insideH w:val="single" w:sz="6" w:space="0" w:color="D9DDE5"/>
          <w:insideV w:val="single" w:sz="6" w:space="0" w:color="D9DDE5"/>
        </w:tblBorders>
      </w:tblPr>
      <w:tblGrid>
        <w:gridCol w:w="5155"/>
        <w:gridCol w:w="5155"/>
      </w:tblGrid>
      <w:tr>
        <w:trPr>
          <w:tblHeader w:val="true"/>
        </w:trPr>
        <w:tc>
          <w:tcPr>
            <w:tcW w:type="dxa" w:w="5155"/>
            <w:shd w:fill="6C36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5155"/>
            <w:shd w:fill="6C36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Definición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Dirección / modalidad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Exportación / Aéreo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Perfil base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Carga aérea / ULD o consolidada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Trigger / contexto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Operación internacional + Air.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Etapas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Proforma/PO → Packing → Invoice → Booking → Aduana → aceptación terminal → AWB → vuelo → entrega/close según alcance.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Documentos base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Packing, Commercial Invoice, booking, declaración aduanera, AWB/e-AWB data, terminal receipt.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Documentos condicionales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DG Shipper Declaration; certificados; origen; seguro; licencias.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Roles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Internos: Administración/Comercial, Producción/Depósito, COMEX. Externos: despachante, forwarder/carrier, transportista/ATA; otros según operación.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IA Docs / facts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Partes, referencias, ítems, cantidades/UOM, bultos, pesos, volumen, valores/moneda, Incoterm, fechas y referencias de transporte.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IA Supervisora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Packing↔Invoice↔Aduana; obligatoriedad por etapa; confidence; SLA; versión upstream; parties/references. piezas, gross/chargeable weight, aeropuertos, AWB y DG acceptance cuando aplique.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Integración Follow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Context export/air; ULD/consolidated; tramo terrestre puede invocar recolección.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Cierre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AWB aceptada + flight/hand-off + tareas críticas cerradas.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Overlays compatibles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REEFER, DG, FOOD, high-security si el tenant lo define.</w:t>
            </w:r>
          </w:p>
        </w:tc>
      </w:tr>
    </w:tbl>
    <w:p/>
    <w:p>
      <w:pPr>
        <w:pStyle w:val="Heading2"/>
      </w:pPr>
      <w:r>
        <w:t>COMEX-EX-ROAD-FTL — Exportación terrestre FTL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DE5"/>
          <w:left w:val="single" w:sz="6" w:space="0" w:color="D9DDE5"/>
          <w:bottom w:val="single" w:sz="6" w:space="0" w:color="D9DDE5"/>
          <w:right w:val="single" w:sz="6" w:space="0" w:color="D9DDE5"/>
          <w:insideH w:val="single" w:sz="6" w:space="0" w:color="D9DDE5"/>
          <w:insideV w:val="single" w:sz="6" w:space="0" w:color="D9DDE5"/>
        </w:tblBorders>
      </w:tblPr>
      <w:tblGrid>
        <w:gridCol w:w="5155"/>
        <w:gridCol w:w="5155"/>
      </w:tblGrid>
      <w:tr>
        <w:trPr>
          <w:tblHeader w:val="true"/>
        </w:trPr>
        <w:tc>
          <w:tcPr>
            <w:tcW w:type="dxa" w:w="5155"/>
            <w:shd w:fill="6C36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5155"/>
            <w:shd w:fill="6C36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Definición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Dirección / modalidad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Exportación / Terrestre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Perfil base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Camión completo / FTL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Trigger / contexto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Internacional + Road + FTL.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Etapas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Proforma/PO → Packing → Invoice → Aduana → asignación transporte → documento transporte/tránsito según ruta → frontera → entrega/POD.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Documentos base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Packing, Invoice, declaración aduanera, documento de transporte por ruta, seguro vehicular/documental, POD.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Documentos condicionales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Certificados/licencias/DG; controles chofer/vehículo.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Roles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Internos: Administración/Comercial, Producción/Depósito, COMEX. Externos: despachante, forwarder/carrier, transportista/ATA; otros según operación.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IA Docs / facts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Partes, referencias, ítems, cantidades/UOM, bultos, pesos, volumen, valores/moneda, Incoterm, fechas y referencias de transporte.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IA Supervisora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Packing↔Invoice↔Aduana; obligatoriedad por etapa; confidence; SLA; versión upstream; parties/references. vehículo/transportista, bultos/peso, frontera y destinatario.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Integración Follow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Context export/road/FTL; integrar FOL-DRIVER-DOCS/FOL-VEHICLE-DOCS/POD si aplica.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Cierre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Frontera/aduana completada + POD o hito configurado.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Overlays compatibles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DG, FOOD, REEFER, OVERSIZE, SP03 volumen/balanza.</w:t>
            </w:r>
          </w:p>
        </w:tc>
      </w:tr>
    </w:tbl>
    <w:p/>
    <w:p>
      <w:pPr>
        <w:pStyle w:val="Heading2"/>
      </w:pPr>
      <w:r>
        <w:t>COMEX-EX-ROAD-LTL — Exportación terrestre LTL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DE5"/>
          <w:left w:val="single" w:sz="6" w:space="0" w:color="D9DDE5"/>
          <w:bottom w:val="single" w:sz="6" w:space="0" w:color="D9DDE5"/>
          <w:right w:val="single" w:sz="6" w:space="0" w:color="D9DDE5"/>
          <w:insideH w:val="single" w:sz="6" w:space="0" w:color="D9DDE5"/>
          <w:insideV w:val="single" w:sz="6" w:space="0" w:color="D9DDE5"/>
        </w:tblBorders>
      </w:tblPr>
      <w:tblGrid>
        <w:gridCol w:w="5155"/>
        <w:gridCol w:w="5155"/>
      </w:tblGrid>
      <w:tr>
        <w:trPr>
          <w:tblHeader w:val="true"/>
        </w:trPr>
        <w:tc>
          <w:tcPr>
            <w:tcW w:type="dxa" w:w="5155"/>
            <w:shd w:fill="6C36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5155"/>
            <w:shd w:fill="6C36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Definición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Dirección / modalidad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Exportación / Terrestre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Perfil base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LTL / consolidado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Trigger / contexto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Internacional + Road + LTL.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Etapas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Proforma/PO → Packing → Invoice → Aduana → consolidación → documento transporte → frontera → entrega/POD.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Documentos base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Packing, Invoice, aduana, documento transporte, evidencia consolidación, POD.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Documentos condicionales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Certificados, DG, seguro, licencias.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Roles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Internos: Administración/Comercial, Producción/Depósito, COMEX. Externos: despachante, forwarder/carrier, transportista/ATA; otros según operación.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IA Docs / facts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Partes, referencias, ítems, cantidades/UOM, bultos, pesos, volumen, valores/moneda, Incoterm, fechas y referencias de transporte.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IA Supervisora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Packing↔Invoice↔Aduana; obligatoriedad por etapa; confidence; SLA; versión upstream; parties/references. relación lote↔consolidado, bultos/peso/marks y destinatario.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Integración Follow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Context export/road/LTL; subproceso recolección/consolidación si Follow lo gestiona.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Cierre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Entrega/POD + expediente consistente.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Overlays compatibles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DG, FOOD, REEFER, SP03 volumen.</w:t>
            </w:r>
          </w:p>
        </w:tc>
      </w:tr>
    </w:tbl>
    <w:p/>
    <w:p>
      <w:pPr>
        <w:pStyle w:val="Heading1"/>
      </w:pPr>
      <w:r>
        <w:t>8. Plantillas base — Importación</w:t>
      </w:r>
    </w:p>
    <w:p>
      <w:pPr>
        <w:pStyle w:val="Heading2"/>
      </w:pPr>
      <w:r>
        <w:t>COMEX-IM-MAR-FCL — Importación marítima FCL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DE5"/>
          <w:left w:val="single" w:sz="6" w:space="0" w:color="D9DDE5"/>
          <w:bottom w:val="single" w:sz="6" w:space="0" w:color="D9DDE5"/>
          <w:right w:val="single" w:sz="6" w:space="0" w:color="D9DDE5"/>
          <w:insideH w:val="single" w:sz="6" w:space="0" w:color="D9DDE5"/>
          <w:insideV w:val="single" w:sz="6" w:space="0" w:color="D9DDE5"/>
        </w:tblBorders>
      </w:tblPr>
      <w:tblGrid>
        <w:gridCol w:w="5155"/>
        <w:gridCol w:w="5155"/>
      </w:tblGrid>
      <w:tr>
        <w:trPr>
          <w:tblHeader w:val="true"/>
        </w:trPr>
        <w:tc>
          <w:tcPr>
            <w:tcW w:type="dxa" w:w="5155"/>
            <w:shd w:fill="6C36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5155"/>
            <w:shd w:fill="6C36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Definición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Dirección / modalidad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Importación / Marítimo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Perfil base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Contenedor completo / FCL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Trigger / contexto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Operación internacional + import + Sea + FCL.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Etapas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PO/Proforma → Invoice/Packing → BL → pre-arrival → Aduana → release → retiro → entrega → devolución contenedor → cierre.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Documentos base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PO, Invoice, Packing, BL/Sea Waybill, declaración aduanera/release, EIR/retiro, POD/recepción.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Documentos condicionales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Origen/SPS/licencias/seguro/DG; demurrage/detention docs.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Roles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Internos: Compras/Administración, COMEX, Recepción/Depósito, Finanzas. Externos: despachante, forwarder/carrier, transportista; proveedor y terminal/depósito según caso.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IA Docs / facts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Partes, referencias, ítems, cantidades/UOM, bultos, pesos, volumen, valores/moneda, Incoterm, fechas y referencias de transporte.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IA Supervisora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PO/Proforma↔Invoice↔Packing↔transporte↔Aduana; obligatoriedad, confidence, SLA, release y recepción. contenedor/sello, free time, release y retorno.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Integración Follow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Context import/sea/FCL; activar FOL-CONTAINER/COMEX-CONT-RETURN.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Cierre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Recepción + devolución/evidencia contenedor cuando aplique + expediente.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Overlays compatibles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REEFER, DG, FOOD, OVERSIZE, CONT-RETURN.</w:t>
            </w:r>
          </w:p>
        </w:tc>
      </w:tr>
    </w:tbl>
    <w:p/>
    <w:p>
      <w:pPr>
        <w:pStyle w:val="Heading2"/>
      </w:pPr>
      <w:r>
        <w:t>COMEX-IM-MAR-LCL — Importación marítima LCL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DE5"/>
          <w:left w:val="single" w:sz="6" w:space="0" w:color="D9DDE5"/>
          <w:bottom w:val="single" w:sz="6" w:space="0" w:color="D9DDE5"/>
          <w:right w:val="single" w:sz="6" w:space="0" w:color="D9DDE5"/>
          <w:insideH w:val="single" w:sz="6" w:space="0" w:color="D9DDE5"/>
          <w:insideV w:val="single" w:sz="6" w:space="0" w:color="D9DDE5"/>
        </w:tblBorders>
      </w:tblPr>
      <w:tblGrid>
        <w:gridCol w:w="5155"/>
        <w:gridCol w:w="5155"/>
      </w:tblGrid>
      <w:tr>
        <w:trPr>
          <w:tblHeader w:val="true"/>
        </w:trPr>
        <w:tc>
          <w:tcPr>
            <w:tcW w:type="dxa" w:w="5155"/>
            <w:shd w:fill="6C36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5155"/>
            <w:shd w:fill="6C36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Definición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Dirección / modalidad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Importación / Marítimo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Perfil base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Consolidado / LCL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Trigger / contexto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Import + Sea + LCL.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Etapas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PO → Invoice/Packing → HBL/BL → arribo → Aduana → desconsolidación → release/retiro → recepción.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Documentos base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PO, Invoice, Packing, HBL/BL, aduana/release, depósito/CFS, recepción.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Documentos condicionales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Certificados, DG, seguro, licencias.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Roles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Internos: Compras/Administración, COMEX, Recepción/Depósito, Finanzas. Externos: despachante, forwarder/carrier, transportista; proveedor y terminal/depósito según caso.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IA Docs / facts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Partes, referencias, ítems, cantidades/UOM, bultos, pesos, volumen, valores/moneda, Incoterm, fechas y referencias de transporte.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IA Supervisora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PO/Proforma↔Invoice↔Packing↔transporte↔Aduana; obligatoriedad, confidence, SLA, release y recepción. bultos/peso/volumen, consignatario y recepción vs packing.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Integración Follow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Context import/sea/LCL; retiro/última milla opcional Follow.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Cierre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Recepción y cierre de diferencias.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Overlays compatibles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REEFER, DG, FOOD, documentación especial.</w:t>
            </w:r>
          </w:p>
        </w:tc>
      </w:tr>
    </w:tbl>
    <w:p/>
    <w:p>
      <w:pPr>
        <w:pStyle w:val="Heading2"/>
      </w:pPr>
      <w:r>
        <w:t>COMEX-IM-AIR — Importación aérea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DE5"/>
          <w:left w:val="single" w:sz="6" w:space="0" w:color="D9DDE5"/>
          <w:bottom w:val="single" w:sz="6" w:space="0" w:color="D9DDE5"/>
          <w:right w:val="single" w:sz="6" w:space="0" w:color="D9DDE5"/>
          <w:insideH w:val="single" w:sz="6" w:space="0" w:color="D9DDE5"/>
          <w:insideV w:val="single" w:sz="6" w:space="0" w:color="D9DDE5"/>
        </w:tblBorders>
      </w:tblPr>
      <w:tblGrid>
        <w:gridCol w:w="5155"/>
        <w:gridCol w:w="5155"/>
      </w:tblGrid>
      <w:tr>
        <w:trPr>
          <w:tblHeader w:val="true"/>
        </w:trPr>
        <w:tc>
          <w:tcPr>
            <w:tcW w:type="dxa" w:w="5155"/>
            <w:shd w:fill="6C36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5155"/>
            <w:shd w:fill="6C36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Definición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Dirección / modalidad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Importación / Aéreo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Perfil base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Carga aérea / consolidada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Trigger / contexto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Import + Air.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Etapas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PO → Invoice/Packing → AWB → pre-arrival → Aduana → release → retiro terminal → recepción.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Documentos base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PO, Invoice, Packing, AWB, aduana/release, terminal receipt, POD/recepción.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Documentos condicionales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DG/SPS/origen/seguro/licencias.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Roles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Internos: Compras/Administración, COMEX, Recepción/Depósito, Finanzas. Externos: despachante, forwarder/carrier, transportista; proveedor y terminal/depósito según caso.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IA Docs / facts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Partes, referencias, ítems, cantidades/UOM, bultos, pesos, volumen, valores/moneda, Incoterm, fechas y referencias de transporte.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IA Supervisora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PO/Proforma↔Invoice↔Packing↔transporte↔Aduana; obligatoriedad, confidence, SLA, release y recepción. piezas/peso/valor, AWB, aeropuertos y release.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Integración Follow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Context import/air; post-carriage puede activar carga/última milla.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Cierre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Recepción + expediente y excepciones resueltas.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Overlays compatibles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REEFER, DG, FOOD, high-security tenant overlay.</w:t>
            </w:r>
          </w:p>
        </w:tc>
      </w:tr>
    </w:tbl>
    <w:p/>
    <w:p>
      <w:pPr>
        <w:pStyle w:val="Heading2"/>
      </w:pPr>
      <w:r>
        <w:t>COMEX-IM-ROAD-FTL — Importación terrestre FTL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DE5"/>
          <w:left w:val="single" w:sz="6" w:space="0" w:color="D9DDE5"/>
          <w:bottom w:val="single" w:sz="6" w:space="0" w:color="D9DDE5"/>
          <w:right w:val="single" w:sz="6" w:space="0" w:color="D9DDE5"/>
          <w:insideH w:val="single" w:sz="6" w:space="0" w:color="D9DDE5"/>
          <w:insideV w:val="single" w:sz="6" w:space="0" w:color="D9DDE5"/>
        </w:tblBorders>
      </w:tblPr>
      <w:tblGrid>
        <w:gridCol w:w="5155"/>
        <w:gridCol w:w="5155"/>
      </w:tblGrid>
      <w:tr>
        <w:trPr>
          <w:tblHeader w:val="true"/>
        </w:trPr>
        <w:tc>
          <w:tcPr>
            <w:tcW w:type="dxa" w:w="5155"/>
            <w:shd w:fill="6C36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5155"/>
            <w:shd w:fill="6C36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Definición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Dirección / modalidad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Importación / Terrestre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Perfil base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Camión completo / FTL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Trigger / contexto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Import + Road + FTL.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Etapas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PO → Invoice/Packing → documento transporte → frontera/aduana → liberación → viaje → recepción/POD.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Documentos base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PO, Invoice, Packing, documento transporte/tránsito según ruta, aduana/release, POD.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Documentos condicionales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Certificados, DG, seguro, controles activo/chofer.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Roles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Internos: Compras/Administración, COMEX, Recepción/Depósito, Finanzas. Externos: despachante, forwarder/carrier, transportista; proveedor y terminal/depósito según caso.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IA Docs / facts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Partes, referencias, ítems, cantidades/UOM, bultos, pesos, volumen, valores/moneda, Incoterm, fechas y referencias de transporte.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IA Supervisora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PO/Proforma↔Invoice↔Packing↔transporte↔Aduana; obligatoriedad, confidence, SLA, release y recepción. PO/invoice/packing/transport; peso/bultos y recepción.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Integración Follow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Context import/road/FTL; driver/vehicle compliance y POD opcional.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Cierre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Recepción + conciliación documental.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Overlays compatibles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DG, FOOD, REEFER, OVERSIZE, SP03.</w:t>
            </w:r>
          </w:p>
        </w:tc>
      </w:tr>
    </w:tbl>
    <w:p/>
    <w:p>
      <w:pPr>
        <w:pStyle w:val="Heading2"/>
      </w:pPr>
      <w:r>
        <w:t>COMEX-IM-ROAD-LTL — Importación terrestre LTL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DE5"/>
          <w:left w:val="single" w:sz="6" w:space="0" w:color="D9DDE5"/>
          <w:bottom w:val="single" w:sz="6" w:space="0" w:color="D9DDE5"/>
          <w:right w:val="single" w:sz="6" w:space="0" w:color="D9DDE5"/>
          <w:insideH w:val="single" w:sz="6" w:space="0" w:color="D9DDE5"/>
          <w:insideV w:val="single" w:sz="6" w:space="0" w:color="D9DDE5"/>
        </w:tblBorders>
      </w:tblPr>
      <w:tblGrid>
        <w:gridCol w:w="5155"/>
        <w:gridCol w:w="5155"/>
      </w:tblGrid>
      <w:tr>
        <w:trPr>
          <w:tblHeader w:val="true"/>
        </w:trPr>
        <w:tc>
          <w:tcPr>
            <w:tcW w:type="dxa" w:w="5155"/>
            <w:shd w:fill="6C36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5155"/>
            <w:shd w:fill="6C36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Definición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Dirección / modalidad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Importación / Terrestre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Perfil base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LTL / consolidado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Trigger / contexto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Import + Road + LTL.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Etapas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PO → Invoice/Packing → documento transporte → consolidación/frontera/aduana → liberación → desconsolidación → recepción.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Documentos base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PO, Invoice, Packing, transporte, aduana/release, consolidación, POD.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Documentos condicionales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Certificados, DG, seguro, licencias.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Roles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Internos: Compras/Administración, COMEX, Recepción/Depósito, Finanzas. Externos: despachante, forwarder/carrier, transportista; proveedor y terminal/depósito según caso.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IA Docs / facts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Partes, referencias, ítems, cantidades/UOM, bultos, pesos, volumen, valores/moneda, Incoterm, fechas y referencias de transporte.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IA Supervisora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PO/Proforma↔Invoice↔Packing↔transporte↔Aduana; obligatoriedad, confidence, SLA, release y recepción. lote/consolidado, bultos/peso y recepción.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Integración Follow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Context import/road/LTL; recolección/última milla según Follow.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Cierre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Recepción y cierre.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Overlays compatibles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DG, FOOD, REEFER, SP03.</w:t>
            </w:r>
          </w:p>
        </w:tc>
      </w:tr>
    </w:tbl>
    <w:p/>
    <w:p>
      <w:pPr>
        <w:pStyle w:val="Heading1"/>
      </w:pPr>
      <w:r>
        <w:t>9. Plantillas multimodales nuevas para MVP0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9694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multimodal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969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Inter" w:hAnsi="Inter"/>
          <w:b w:val="0"/>
          <w:i/>
          <w:color w:val="6B7280"/>
          <w:sz w:val="15"/>
        </w:rPr>
        <w:t>Figura A3 — Multimodalidad: cada cambio de modo es un hito y una zona de riesgo documental.</w:t>
      </w:r>
    </w:p>
    <w:p>
      <w:pPr>
        <w:pStyle w:val="Heading2"/>
      </w:pPr>
      <w:r>
        <w:t>COMEX-EX-MM-ROAD-SEA — Exportación multimodal terrestre + marítimo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DE5"/>
          <w:left w:val="single" w:sz="6" w:space="0" w:color="D9DDE5"/>
          <w:bottom w:val="single" w:sz="6" w:space="0" w:color="D9DDE5"/>
          <w:right w:val="single" w:sz="6" w:space="0" w:color="D9DDE5"/>
          <w:insideH w:val="single" w:sz="6" w:space="0" w:color="D9DDE5"/>
          <w:insideV w:val="single" w:sz="6" w:space="0" w:color="D9DDE5"/>
        </w:tblBorders>
      </w:tblPr>
      <w:tblGrid>
        <w:gridCol w:w="5155"/>
        <w:gridCol w:w="5155"/>
      </w:tblGrid>
      <w:tr>
        <w:trPr>
          <w:tblHeader w:val="true"/>
        </w:trPr>
        <w:tc>
          <w:tcPr>
            <w:tcW w:type="dxa" w:w="5155"/>
            <w:shd w:fill="6C36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5155"/>
            <w:shd w:fill="6C36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Definición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Dirección / modalidad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Exportación / Multimodal Road→Sea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Perfil base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FTL/LTL pre-carriage + FCL/LCL marítimo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Trigger / contexto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Export internacional con origen interior y tramo terrestre hasta puerto seguido de transporte marítimo.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Etapas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Proforma/PO → Packing/Invoice → booking → pre-carriage road → gate/CFS → VGM si FCL → Aduana → BL/HBL/through/FBL si aplica → embarque → cierre.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Documentos base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Docs comerciales, aduana, doc road/pre-carriage, gate/CFS, BL/HBL/Sea Waybill.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Documentos condicionales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VGM, multimodal/through/FIATA FBL-FWB si emitido, DG/SPS/origen/seguro.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Roles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Internos: Administración/Comercial, Producción/Depósito, COMEX. Externos: despachante, forwarder/carrier, transportista/ATA; otros según operación.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IA Docs / facts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Partes, referencias, ítems, cantidades/UOM, bultos, pesos, volumen, valores/moneda, Incoterm, fechas y referencias de transporte. + referencias por tramo, MTO/forwarder, hand-off, terminal/port/airport y through document cuando exista.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IA Supervisora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Consistencia comercial end-to-end + transferencia entre tramos + documento de cada modo + hand-off + SLA/cut-offs. Si existe documento multimodal/through, validar contra documentos de tramos sin asumir que siempre es obligatorio.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Integración Follow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Follow crea/gestiona tramo terrestre; NEXT DOC AI mantiene expediente multimodal y puede linkear Pedido/Carga/Viaje por subject_ref.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Cierre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Hand-off puerto validado + documento marítimo + hito embarque/alcance.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Overlays compatibles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FCL/LCL, REEFER, DG, FOOD, OVERSIZE, CONT-RETURN, RECOLLECTION.</w:t>
            </w:r>
          </w:p>
        </w:tc>
      </w:tr>
    </w:tbl>
    <w:p/>
    <w:p>
      <w:pPr>
        <w:pStyle w:val="Heading2"/>
      </w:pPr>
      <w:r>
        <w:t>COMEX-IM-MM-SEA-ROAD — Importación multimodal marítimo + terrestre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DE5"/>
          <w:left w:val="single" w:sz="6" w:space="0" w:color="D9DDE5"/>
          <w:bottom w:val="single" w:sz="6" w:space="0" w:color="D9DDE5"/>
          <w:right w:val="single" w:sz="6" w:space="0" w:color="D9DDE5"/>
          <w:insideH w:val="single" w:sz="6" w:space="0" w:color="D9DDE5"/>
          <w:insideV w:val="single" w:sz="6" w:space="0" w:color="D9DDE5"/>
        </w:tblBorders>
      </w:tblPr>
      <w:tblGrid>
        <w:gridCol w:w="5155"/>
        <w:gridCol w:w="5155"/>
      </w:tblGrid>
      <w:tr>
        <w:trPr>
          <w:tblHeader w:val="true"/>
        </w:trPr>
        <w:tc>
          <w:tcPr>
            <w:tcW w:type="dxa" w:w="5155"/>
            <w:shd w:fill="6C36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5155"/>
            <w:shd w:fill="6C36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Definición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Dirección / modalidad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Importación / Multimodal Sea→Road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Perfil base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FCL/LCL marítimo + FTL/LTL post-carriage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Trigger / contexto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Import marítima con retiro portuario y tramo terrestre hasta depósito/planta.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Etapas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PO → Invoice/Packing → BL/HBL → arribo → Aduana/release → retiro puerto/CFS → post-carriage road → recepción → retorno contenedor si FCL.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Documentos base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Docs comerciales, BL/HBL, aduana/release, gate/EIR, doc terrestre, POD/recepción.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Documentos condicionales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Multimodal/through, certificados, DG, seguro, retorno contenedor.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Roles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Internos: Compras/Administración, COMEX, Recepción/Depósito, Finanzas. Externos: despachante, forwarder/carrier, transportista; proveedor y terminal/depósito según caso.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IA Docs / facts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Partes, referencias, ítems, cantidades/UOM, bultos, pesos, volumen, valores/moneda, Incoterm, fechas y referencias de transporte. + referencias por tramo, MTO/forwarder, hand-off, terminal/port/airport y through document cuando exista.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IA Supervisora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Consistencia comercial end-to-end + transferencia entre tramos + documento de cada modo + hand-off + SLA/cut-offs. Si existe documento multimodal/through, validar contra documentos de tramos sin asumir que siempre es obligatorio.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Integración Follow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Follow puede gestionar retiro, viaje y POD; activar FOL-CONTAINER para retorno.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Cierre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Recepción + retorno si aplica + expediente cerrado.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Overlays compatibles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FCL/LCL, REEFER, DG, FOOD, OVERSIZE, CONT-RETURN, LASTMILE/POD.</w:t>
            </w:r>
          </w:p>
        </w:tc>
      </w:tr>
    </w:tbl>
    <w:p/>
    <w:p>
      <w:pPr>
        <w:pStyle w:val="Heading2"/>
      </w:pPr>
      <w:r>
        <w:t>COMEX-EX-MM-ROAD-AIR — Exportación multimodal terrestre + aéreo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DE5"/>
          <w:left w:val="single" w:sz="6" w:space="0" w:color="D9DDE5"/>
          <w:bottom w:val="single" w:sz="6" w:space="0" w:color="D9DDE5"/>
          <w:right w:val="single" w:sz="6" w:space="0" w:color="D9DDE5"/>
          <w:insideH w:val="single" w:sz="6" w:space="0" w:color="D9DDE5"/>
          <w:insideV w:val="single" w:sz="6" w:space="0" w:color="D9DDE5"/>
        </w:tblBorders>
      </w:tblPr>
      <w:tblGrid>
        <w:gridCol w:w="5155"/>
        <w:gridCol w:w="5155"/>
      </w:tblGrid>
      <w:tr>
        <w:trPr>
          <w:tblHeader w:val="true"/>
        </w:trPr>
        <w:tc>
          <w:tcPr>
            <w:tcW w:type="dxa" w:w="5155"/>
            <w:shd w:fill="6C36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5155"/>
            <w:shd w:fill="6C36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Definición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Dirección / modalidad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Exportación / Multimodal Road→Air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Perfil base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FTL/LTL pre-carriage + ULD/consolidado aéreo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Trigger / contexto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Export desde planta interior a aeropuerto y vuelo internacional.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Etapas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Proforma/PO → Packing/Invoice → booking air → pre-carriage road → aceptación terminal → Aduana → AWB/e-AWB → flight → cierre/entrega según alcance.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Documentos base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Docs comerciales, doc road, terminal receipt, aduana, AWB.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Documentos condicionales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DG Declaration, certificates/origin, seguro, through/multimodal doc si emitido.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Roles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Internos: Administración/Comercial, Producción/Depósito, COMEX. Externos: despachante, forwarder/carrier, transportista/ATA; otros según operación.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IA Docs / facts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Partes, referencias, ítems, cantidades/UOM, bultos, pesos, volumen, valores/moneda, Incoterm, fechas y referencias de transporte. + referencias por tramo, MTO/forwarder, hand-off, terminal/port/airport y through document cuando exista.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IA Supervisora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Consistencia comercial end-to-end + transferencia entre tramos + documento de cada modo + hand-off + SLA/cut-offs. Si existe documento multimodal/through, validar contra documentos de tramos sin asumir que siempre es obligatorio.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Integración Follow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Follow gestiona recolección/tramo carretera; Next Doc relaciona hand-off terminal con AWB.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Cierre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RCS/aceptación o hito equivalente + AWB + vuelo/hand-off final.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Overlays compatibles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REEFER, DG, FOOD, RECOLLECTION, documentación especial.</w:t>
            </w:r>
          </w:p>
        </w:tc>
      </w:tr>
    </w:tbl>
    <w:p/>
    <w:p>
      <w:pPr>
        <w:pStyle w:val="Heading2"/>
      </w:pPr>
      <w:r>
        <w:t>COMEX-IM-MM-AIR-ROAD — Importación multimodal aéreo + terrestre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DE5"/>
          <w:left w:val="single" w:sz="6" w:space="0" w:color="D9DDE5"/>
          <w:bottom w:val="single" w:sz="6" w:space="0" w:color="D9DDE5"/>
          <w:right w:val="single" w:sz="6" w:space="0" w:color="D9DDE5"/>
          <w:insideH w:val="single" w:sz="6" w:space="0" w:color="D9DDE5"/>
          <w:insideV w:val="single" w:sz="6" w:space="0" w:color="D9DDE5"/>
        </w:tblBorders>
      </w:tblPr>
      <w:tblGrid>
        <w:gridCol w:w="5155"/>
        <w:gridCol w:w="5155"/>
      </w:tblGrid>
      <w:tr>
        <w:trPr>
          <w:tblHeader w:val="true"/>
        </w:trPr>
        <w:tc>
          <w:tcPr>
            <w:tcW w:type="dxa" w:w="5155"/>
            <w:shd w:fill="6C36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5155"/>
            <w:shd w:fill="6C36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Definición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Dirección / modalidad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Importación / Multimodal Air→Road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Perfil base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Carga aérea + post-carriage terrestre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Trigger / contexto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Import aérea con retiro terminal y traslado a planta/depósito.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Etapas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PO → Invoice/Packing → AWB → arribo → Aduana/release → retiro terminal → post-carriage road → recepción/POD.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Documentos base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Docs comerciales, AWB, aduana/release, terminal release/receipt, doc terrestre, POD.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Documentos condicionales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DG/certificados/seguro; through/multimodal doc si emitido.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Roles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Internos: Compras/Administración, COMEX, Recepción/Depósito, Finanzas. Externos: despachante, forwarder/carrier, transportista; proveedor y terminal/depósito según caso.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IA Docs / facts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Partes, referencias, ítems, cantidades/UOM, bultos, pesos, volumen, valores/moneda, Incoterm, fechas y referencias de transporte. + referencias por tramo, MTO/forwarder, hand-off, terminal/port/airport y through document cuando exista.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IA Supervisora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Consistencia comercial end-to-end + transferencia entre tramos + documento de cada modo + hand-off + SLA/cut-offs. Si existe documento multimodal/through, validar contra documentos de tramos sin asumir que siempre es obligatorio.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Integración Follow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Follow recibe carga desde terminal y administra viaje/última milla/POD.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Cierre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Recepción + conciliación de piezas/peso + cierre.</w:t>
            </w:r>
          </w:p>
        </w:tc>
      </w:tr>
      <w:tr>
        <w:trPr>
          <w:cantSplit/>
        </w:trPr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Overlays compatibles</w:t>
            </w:r>
          </w:p>
        </w:tc>
        <w:tc>
          <w:tcPr>
            <w:tcW w:type="dxa" w:w="51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REEFER, DG, FOOD, LASTMILE/POD.</w:t>
            </w:r>
          </w:p>
        </w:tc>
      </w:tr>
    </w:tbl>
    <w:p/>
    <w:p>
      <w:pPr>
        <w:pStyle w:val="Heading1"/>
      </w:pPr>
      <w:r>
        <w:t>10. Overlays de carga y subprocesos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DE5"/>
          <w:left w:val="single" w:sz="6" w:space="0" w:color="D9DDE5"/>
          <w:bottom w:val="single" w:sz="6" w:space="0" w:color="D9DDE5"/>
          <w:right w:val="single" w:sz="6" w:space="0" w:color="D9DDE5"/>
          <w:insideH w:val="single" w:sz="6" w:space="0" w:color="D9DDE5"/>
          <w:insideV w:val="single" w:sz="6" w:space="0" w:color="D9DDE5"/>
        </w:tblBorders>
      </w:tblPr>
      <w:tblGrid>
        <w:gridCol w:w="2577"/>
        <w:gridCol w:w="2577"/>
        <w:gridCol w:w="2577"/>
        <w:gridCol w:w="2577"/>
      </w:tblGrid>
      <w:tr>
        <w:trPr>
          <w:tblHeader w:val="true"/>
        </w:trPr>
        <w:tc>
          <w:tcPr>
            <w:tcW w:type="dxa" w:w="2577"/>
            <w:shd w:fill="0D0F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4"/>
              </w:rPr>
              <w:t>Overlay/Subproceso</w:t>
            </w:r>
          </w:p>
        </w:tc>
        <w:tc>
          <w:tcPr>
            <w:tcW w:type="dxa" w:w="2577"/>
            <w:shd w:fill="0D0F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4"/>
              </w:rPr>
              <w:t>Origen</w:t>
            </w:r>
          </w:p>
        </w:tc>
        <w:tc>
          <w:tcPr>
            <w:tcW w:type="dxa" w:w="2577"/>
            <w:shd w:fill="0D0F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4"/>
              </w:rPr>
              <w:t>Uso</w:t>
            </w:r>
          </w:p>
        </w:tc>
        <w:tc>
          <w:tcPr>
            <w:tcW w:type="dxa" w:w="2577"/>
            <w:shd w:fill="0D0F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4"/>
              </w:rPr>
              <w:t>Efecto</w:t>
            </w:r>
          </w:p>
        </w:tc>
      </w:tr>
      <w:tr>
        <w:trPr>
          <w:cantSplit/>
        </w:trPr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COMEX-OV-REEFER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Base V7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Temperatura controlada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Añadir set-point/range, logs/evidencia, certificados/condición, SLA por excursión; supervisor controla vigencia y excepciones.</w:t>
            </w:r>
          </w:p>
        </w:tc>
      </w:tr>
      <w:tr>
        <w:trPr>
          <w:cantSplit/>
        </w:trPr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COMEX-OV-DG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Base V7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Mercancías peligrosas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Declaraciones/labels/documentos por modo; approvals; campos UN/proper shipping name/clase/packing group cuando aplique.</w:t>
            </w:r>
          </w:p>
        </w:tc>
      </w:tr>
      <w:tr>
        <w:trPr>
          <w:cantSplit/>
        </w:trPr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COMEX-OV-FOOD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Base V7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Alimentos/agro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SPS/fitosanitario/sanitario/origen/lote; vigencia y relación lote↔packing.</w:t>
            </w:r>
          </w:p>
        </w:tc>
      </w:tr>
      <w:tr>
        <w:trPr>
          <w:cantSplit/>
        </w:trPr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COMEX-OV-OVERSIZE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Base V7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Proyecto/sobredimensionada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Dimensiones/peso, permisos de ruta/izaje/escolta, equipment, hitos especiales.</w:t>
            </w:r>
          </w:p>
        </w:tc>
      </w:tr>
      <w:tr>
        <w:trPr>
          <w:cantSplit/>
        </w:trPr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COMEX-CONT-RETURN / FOL-CONTAINER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Base V7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Contenedor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Free time, depósito, EIR, devolución, demurrage/detention alert.</w:t>
            </w:r>
          </w:p>
        </w:tc>
      </w:tr>
      <w:tr>
        <w:trPr>
          <w:cantSplit/>
        </w:trPr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FOL-SP03-VOLUME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Base V7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Granel/pallet/bulto variable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Tickets de balanza/volumen, cantidades variables y conciliación.</w:t>
            </w:r>
          </w:p>
        </w:tc>
      </w:tr>
      <w:tr>
        <w:trPr>
          <w:cantSplit/>
        </w:trPr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FOL-RECOLLECTION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Base V7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Pre-carriage / recolección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Multiparada, hand-off y evidencias antes del tramo internacional.</w:t>
            </w:r>
          </w:p>
        </w:tc>
      </w:tr>
      <w:tr>
        <w:trPr>
          <w:cantSplit/>
        </w:trPr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FOL-POD-CASH / LASTMILE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Base V7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Entrega / recepción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POD, firma/evidencia, destinatario, exceptions.</w:t>
            </w:r>
          </w:p>
        </w:tc>
      </w:tr>
      <w:tr>
        <w:trPr>
          <w:cantSplit/>
        </w:trPr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REGULATED-LICENSE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Recomendado, no listado como tipo Follow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Mercadería sujeta a permisos/licencias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Overlay regulatorio configurable por país/producto. No hardcodear legislación.</w:t>
            </w:r>
          </w:p>
        </w:tc>
      </w:tr>
      <w:tr>
        <w:trPr>
          <w:cantSplit/>
        </w:trPr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HIGH-VALUE-SECURE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Recomendado, no listado como tipo Follow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Carga de alto valor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4"/>
              </w:rPr>
              <w:t>Step-up identity, custody evidence, restricted external access; sólo si demanda comercial.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FFF8E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Inter" w:hAnsi="Inter"/>
                <w:b/>
                <w:i w:val="0"/>
                <w:color w:val="D28B00"/>
                <w:sz w:val="18"/>
              </w:rPr>
              <w:t xml:space="preserve">No inventar el maestro Follow — </w:t>
            </w:r>
            <w:r>
              <w:rPr>
                <w:rFonts w:ascii="Inter" w:hAnsi="Inter"/>
                <w:b w:val="0"/>
                <w:i w:val="0"/>
                <w:color w:val="0D0F12"/>
                <w:sz w:val="18"/>
              </w:rPr>
              <w:t>Los dos overlays “REGULATED-LICENSE” y “HIGH-VALUE-SECURE” son extensiones recomendadas de producto, no se presentan como tipos oficiales de carga Follow. Los tipos oficiales deben venir por ID/código desde el maestro Follow y mapearse al manifest de NEXT DOC AI.</w:t>
            </w:r>
          </w:p>
        </w:tc>
      </w:tr>
    </w:tbl>
    <w:p/>
    <w:p>
      <w:pPr>
        <w:pStyle w:val="Heading1"/>
      </w:pPr>
      <w:r>
        <w:t>11. Reglas de composición por contexto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DE5"/>
          <w:left w:val="single" w:sz="6" w:space="0" w:color="D9DDE5"/>
          <w:bottom w:val="single" w:sz="6" w:space="0" w:color="D9DDE5"/>
          <w:right w:val="single" w:sz="6" w:space="0" w:color="D9DDE5"/>
          <w:insideH w:val="single" w:sz="6" w:space="0" w:color="D9DDE5"/>
          <w:insideV w:val="single" w:sz="6" w:space="0" w:color="D9DDE5"/>
        </w:tblBorders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0D0F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Contexto</w:t>
            </w:r>
          </w:p>
        </w:tc>
        <w:tc>
          <w:tcPr>
            <w:tcW w:type="dxa" w:w="3437"/>
            <w:shd w:fill="0D0F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Plantilla base</w:t>
            </w:r>
          </w:p>
        </w:tc>
        <w:tc>
          <w:tcPr>
            <w:tcW w:type="dxa" w:w="3437"/>
            <w:shd w:fill="0D0F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Composición</w:t>
            </w:r>
          </w:p>
        </w:tc>
      </w:tr>
      <w:tr>
        <w:trPr>
          <w:cantSplit/>
        </w:trP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Export + Sea + FCL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COMEX-EX-MAR-FCL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+ REEFER/DG/FOOD/OVERSIZE según cargo; + CONT-RETURN si corresponde; + Recollection si pre-carriage Follow.</w:t>
            </w:r>
          </w:p>
        </w:tc>
      </w:tr>
      <w:tr>
        <w:trPr>
          <w:cantSplit/>
        </w:trP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Import + Sea + FCL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COMEX-IM-MAR-FCL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+ CONT-RETURN; + cargo overlays; + POD/Last Mile.</w:t>
            </w:r>
          </w:p>
        </w:tc>
      </w:tr>
      <w:tr>
        <w:trPr>
          <w:cantSplit/>
        </w:trP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Export + Sea + LCL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COMEX-EX-MAR-LCL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+ cargo overlays compatibles.</w:t>
            </w:r>
          </w:p>
        </w:tc>
      </w:tr>
      <w:tr>
        <w:trPr>
          <w:cantSplit/>
        </w:trP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Export + Air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COMEX-EX-AIR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+ DG/REEFER/FOOD; + Recollection.</w:t>
            </w:r>
          </w:p>
        </w:tc>
      </w:tr>
      <w:tr>
        <w:trPr>
          <w:cantSplit/>
        </w:trP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Export + Road + FTL/LTL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COMEX-EX-ROAD-*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+ driver/vehicle docs + cargo overlay + SP03 si variable.</w:t>
            </w:r>
          </w:p>
        </w:tc>
      </w:tr>
      <w:tr>
        <w:trPr>
          <w:cantSplit/>
        </w:trP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Export + Multimodal Road+Sea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COMEX-EX-MM-ROAD-SEA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+ sea unit FCL/LCL + road unit FTL/LTL + overlays.</w:t>
            </w:r>
          </w:p>
        </w:tc>
      </w:tr>
      <w:tr>
        <w:trPr>
          <w:cantSplit/>
        </w:trP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Export + Multimodal Road+Air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COMEX-EX-MM-ROAD-AIR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+ air cargo profile + road pre-carriage.</w:t>
            </w:r>
          </w:p>
        </w:tc>
      </w:tr>
      <w:tr>
        <w:trPr>
          <w:cantSplit/>
        </w:trP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Import multimodal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COMEX-IM-MM-*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+ release + post-carriage Follow + POD; container return para Sea/FCL.</w:t>
            </w:r>
          </w:p>
        </w:tc>
      </w:tr>
    </w:tbl>
    <w:p/>
    <w:p>
      <w:pPr>
        <w:pStyle w:val="Heading1"/>
      </w:pPr>
      <w:r>
        <w:t>12. Contrato de integración con Follow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DE5"/>
          <w:left w:val="single" w:sz="6" w:space="0" w:color="D9DDE5"/>
          <w:bottom w:val="single" w:sz="6" w:space="0" w:color="D9DDE5"/>
          <w:right w:val="single" w:sz="6" w:space="0" w:color="D9DDE5"/>
          <w:insideH w:val="single" w:sz="6" w:space="0" w:color="D9DDE5"/>
          <w:insideV w:val="single" w:sz="6" w:space="0" w:color="D9DDE5"/>
        </w:tblBorders>
      </w:tblPr>
      <w:tblGrid>
        <w:gridCol w:w="2577"/>
        <w:gridCol w:w="2577"/>
        <w:gridCol w:w="2577"/>
        <w:gridCol w:w="2577"/>
      </w:tblGrid>
      <w:tr>
        <w:trPr>
          <w:tblHeader w:val="true"/>
        </w:trPr>
        <w:tc>
          <w:tcPr>
            <w:tcW w:type="dxa" w:w="2577"/>
            <w:shd w:fill="0D0F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Contrato/evento</w:t>
            </w:r>
          </w:p>
        </w:tc>
        <w:tc>
          <w:tcPr>
            <w:tcW w:type="dxa" w:w="2577"/>
            <w:shd w:fill="0D0F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Dirección</w:t>
            </w:r>
          </w:p>
        </w:tc>
        <w:tc>
          <w:tcPr>
            <w:tcW w:type="dxa" w:w="2577"/>
            <w:shd w:fill="0D0F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Payload mínimo</w:t>
            </w:r>
          </w:p>
        </w:tc>
        <w:tc>
          <w:tcPr>
            <w:tcW w:type="dxa" w:w="2577"/>
            <w:shd w:fill="0D0F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Resultado</w:t>
            </w:r>
          </w:p>
        </w:tc>
      </w:tr>
      <w:tr>
        <w:trPr>
          <w:cantSplit/>
        </w:trPr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POST /template-recommendations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Follow → NEXT DOC AI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Context normalizado + tenant policy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Lista rankeada de template versions + overlays compatibles.</w:t>
            </w:r>
          </w:p>
        </w:tc>
      </w:tr>
      <w:tr>
        <w:trPr>
          <w:cantSplit/>
        </w:trPr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POST /workflow-instances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Follow → NEXT DOC AI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template_version_id + subject_ref + initial facts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Instance ID + deep link.</w:t>
            </w:r>
          </w:p>
        </w:tc>
      </w:tr>
      <w:tr>
        <w:trPr>
          <w:cantSplit/>
        </w:trPr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document.* events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NEXT DOC AI → Follow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document status, exception, correlation, subject_ref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Actualizar contexto/UX sin duplicar estado canónico.</w:t>
            </w:r>
          </w:p>
        </w:tc>
      </w:tr>
      <w:tr>
        <w:trPr>
          <w:cantSplit/>
        </w:trPr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task.* events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NEXT DOC AI → Follow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task state, assignee class, SLA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Mostrar alertas/estado en Follow cuando corresponda.</w:t>
            </w:r>
          </w:p>
        </w:tc>
      </w:tr>
      <w:tr>
        <w:trPr>
          <w:cantSplit/>
        </w:trPr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workflow.completed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NEXT DOC AI → Follow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instance, outcome, key facts</w:t>
            </w:r>
          </w:p>
        </w:tc>
        <w:tc>
          <w:tcPr>
            <w:tcW w:type="dxa" w:w="257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Cerrar/habilitar etapa logística según integración.</w:t>
            </w:r>
          </w:p>
        </w:tc>
      </w:tr>
    </w:tbl>
    <w:p/>
    <w:p>
      <w:pPr>
        <w:pStyle w:val="Heading1"/>
      </w:pPr>
      <w:r>
        <w:t>13. Dataset y QA mínimo por plantilla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DE5"/>
          <w:left w:val="single" w:sz="6" w:space="0" w:color="D9DDE5"/>
          <w:bottom w:val="single" w:sz="6" w:space="0" w:color="D9DDE5"/>
          <w:right w:val="single" w:sz="6" w:space="0" w:color="D9DDE5"/>
          <w:insideH w:val="single" w:sz="6" w:space="0" w:color="D9DDE5"/>
          <w:insideV w:val="single" w:sz="6" w:space="0" w:color="D9DDE5"/>
        </w:tblBorders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0D0F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Suite</w:t>
            </w:r>
          </w:p>
        </w:tc>
        <w:tc>
          <w:tcPr>
            <w:tcW w:type="dxa" w:w="3437"/>
            <w:shd w:fill="0D0F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Caso</w:t>
            </w:r>
          </w:p>
        </w:tc>
        <w:tc>
          <w:tcPr>
            <w:tcW w:type="dxa" w:w="3437"/>
            <w:shd w:fill="0D0F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i w:val="0"/>
                <w:color w:val="FFFFFF"/>
                <w:sz w:val="15"/>
              </w:rPr>
              <w:t>Aceptación</w:t>
            </w:r>
          </w:p>
        </w:tc>
      </w:tr>
      <w:tr>
        <w:trPr>
          <w:cantSplit/>
        </w:trP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Happy path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3–5 expedientes completos por modalidad/perfil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Todos los documentos esperados; resultado sin excepciones bloqueantes.</w:t>
            </w:r>
          </w:p>
        </w:tc>
      </w:tr>
      <w:tr>
        <w:trPr>
          <w:cantSplit/>
        </w:trP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Variantes layout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Múltiples emisores y formatos de Invoice/Packing/transport docs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Extracción y clasificación robustas.</w:t>
            </w:r>
          </w:p>
        </w:tc>
      </w:tr>
      <w:tr>
        <w:trPr>
          <w:cantSplit/>
        </w:trP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Missing docs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Omitir un documento requerido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Supervisor crea request/bloqueo correcto.</w:t>
            </w:r>
          </w:p>
        </w:tc>
      </w:tr>
      <w:tr>
        <w:trPr>
          <w:cantSplit/>
        </w:trP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Low confidence / ilegible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Campo crítico degradado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Review task, no auto-aprobación.</w:t>
            </w:r>
          </w:p>
        </w:tc>
      </w:tr>
      <w:tr>
        <w:trPr>
          <w:cantSplit/>
        </w:trP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Cross-doc mismatch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Cambiar qty/bultos/peso/consignee/Incoterm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Finding correcto y acción según severidad.</w:t>
            </w:r>
          </w:p>
        </w:tc>
      </w:tr>
      <w:tr>
        <w:trPr>
          <w:cantSplit/>
        </w:trP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New version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Packing v2 tras Invoice/Aduana v1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Re-ejecutar controles directos configurados; no borrar evidencia previa.</w:t>
            </w:r>
          </w:p>
        </w:tc>
      </w:tr>
      <w:tr>
        <w:trPr>
          <w:cantSplit/>
        </w:trP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External isolation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Tercero con secure link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Sólo ve/rellena recurso asignado.</w:t>
            </w:r>
          </w:p>
        </w:tc>
      </w:tr>
      <w:tr>
        <w:trPr>
          <w:cantSplit/>
        </w:trP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Template version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Instancia v1 + publicación v2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Instancia continúa v1.</w:t>
            </w:r>
          </w:p>
        </w:tc>
      </w:tr>
      <w:tr>
        <w:trPr>
          <w:cantSplit/>
        </w:trP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Overlay merge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Base + Reefer/DG/Follow subflow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Sin nodos duplicados; reglas/documentos adicionales aplican.</w:t>
            </w:r>
          </w:p>
        </w:tc>
      </w:tr>
      <w:tr>
        <w:trPr>
          <w:cantSplit/>
        </w:trPr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Follow mapping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Contexto con IDs canónicos</w:t>
            </w:r>
          </w:p>
        </w:tc>
        <w:tc>
          <w:tcPr>
            <w:tcW w:type="dxa" w:w="34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B"/>
          </w:tcPr>
          <w:p>
            <w:r>
              <w:rPr>
                <w:rFonts w:ascii="Inter" w:hAnsi="Inter"/>
                <w:b w:val="0"/>
                <w:i w:val="0"/>
                <w:color w:val="0D0F12"/>
                <w:sz w:val="15"/>
              </w:rPr>
              <w:t>Recomendación estable y auditable.</w:t>
            </w:r>
          </w:p>
        </w:tc>
      </w:tr>
    </w:tbl>
    <w:p/>
    <w:p>
      <w:pPr>
        <w:pStyle w:val="Heading1"/>
      </w:pPr>
      <w:r>
        <w:t>14. Estándares externos usados como referencia de estructuración</w:t>
      </w:r>
    </w:p>
    <w:p>
      <w:r>
        <w:rPr>
          <w:rFonts w:ascii="Inter" w:hAnsi="Inter"/>
          <w:b w:val="0"/>
          <w:i w:val="0"/>
          <w:color w:val="0D0F12"/>
          <w:sz w:val="18"/>
        </w:rPr>
        <w:t>Estas referencias se utilizan para validar la existencia y semántica general de documentos de comercio/transporte; no reemplazan normativa aduanera local ni asesoramiento legal.</w:t>
      </w:r>
    </w:p>
    <w:p>
      <w:r>
        <w:rPr>
          <w:rFonts w:ascii="Inter" w:hAnsi="Inter"/>
          <w:b/>
          <w:i w:val="0"/>
          <w:color w:val="6C36FF"/>
          <w:sz w:val="17"/>
        </w:rPr>
        <w:t xml:space="preserve">COMEX-01 — </w:t>
      </w:r>
      <w:r>
        <w:rPr>
          <w:rFonts w:ascii="Inter" w:hAnsi="Inter"/>
          <w:b w:val="0"/>
          <w:i w:val="0"/>
          <w:color w:val="0D0F12"/>
          <w:sz w:val="17"/>
        </w:rPr>
        <w:t>IATA e-freight / e-AWB. Air Waybill como contrato de transporte aéreo y digitalización e-AWB. https://www.iata.org/en/programs/cargo/e/efreight/</w:t>
      </w:r>
    </w:p>
    <w:p>
      <w:r>
        <w:rPr>
          <w:rFonts w:ascii="Inter" w:hAnsi="Inter"/>
          <w:b/>
          <w:i w:val="0"/>
          <w:color w:val="6C36FF"/>
          <w:sz w:val="17"/>
        </w:rPr>
        <w:t xml:space="preserve">COMEX-02 — </w:t>
      </w:r>
      <w:r>
        <w:rPr>
          <w:rFonts w:ascii="Inter" w:hAnsi="Inter"/>
          <w:b w:val="0"/>
          <w:i w:val="0"/>
          <w:color w:val="0D0F12"/>
          <w:sz w:val="17"/>
        </w:rPr>
        <w:t>IATA Dangerous Goods. DGR y Shipper’s Declaration para carga peligrosa aérea. https://www.iata.org/en/programs/cargo/dgr</w:t>
      </w:r>
    </w:p>
    <w:p>
      <w:r>
        <w:rPr>
          <w:rFonts w:ascii="Inter" w:hAnsi="Inter"/>
          <w:b/>
          <w:i w:val="0"/>
          <w:color w:val="6C36FF"/>
          <w:sz w:val="17"/>
        </w:rPr>
        <w:t xml:space="preserve">COMEX-03 — </w:t>
      </w:r>
      <w:r>
        <w:rPr>
          <w:rFonts w:ascii="Inter" w:hAnsi="Inter"/>
          <w:b w:val="0"/>
          <w:i w:val="0"/>
          <w:color w:val="0D0F12"/>
          <w:sz w:val="17"/>
        </w:rPr>
        <w:t>IMO SOLAS VGM. Verified Gross Mass como condición de carga de contenedor. https://www.imo.org/en/ourwork/safety/pages/verification-of-the-gross-mass.aspx</w:t>
      </w:r>
    </w:p>
    <w:p>
      <w:r>
        <w:rPr>
          <w:rFonts w:ascii="Inter" w:hAnsi="Inter"/>
          <w:b/>
          <w:i w:val="0"/>
          <w:color w:val="6C36FF"/>
          <w:sz w:val="17"/>
        </w:rPr>
        <w:t xml:space="preserve">COMEX-04 — </w:t>
      </w:r>
      <w:r>
        <w:rPr>
          <w:rFonts w:ascii="Inter" w:hAnsi="Inter"/>
          <w:b w:val="0"/>
          <w:i w:val="0"/>
          <w:color w:val="0D0F12"/>
          <w:sz w:val="17"/>
        </w:rPr>
        <w:t>FIATA Documents. FBL/FWB y documentos de forwarders/multimodalidad. https://fiata.org/resources/</w:t>
      </w:r>
    </w:p>
    <w:p>
      <w:r>
        <w:rPr>
          <w:rFonts w:ascii="Inter" w:hAnsi="Inter"/>
          <w:b/>
          <w:i w:val="0"/>
          <w:color w:val="6C36FF"/>
          <w:sz w:val="17"/>
        </w:rPr>
        <w:t xml:space="preserve">COMEX-05 — </w:t>
      </w:r>
      <w:r>
        <w:rPr>
          <w:rFonts w:ascii="Inter" w:hAnsi="Inter"/>
          <w:b w:val="0"/>
          <w:i w:val="0"/>
          <w:color w:val="0D0F12"/>
          <w:sz w:val="17"/>
        </w:rPr>
        <w:t>UNECE / UNCEFACT. Estándares de Packing List, Invoice y transporte multimodal; trade document data models. https://unece.org/trade/uncefact/mainstandards</w:t>
      </w:r>
    </w:p>
    <w:p>
      <w:r>
        <w:rPr>
          <w:rFonts w:ascii="Inter" w:hAnsi="Inter"/>
          <w:b/>
          <w:i w:val="0"/>
          <w:color w:val="6C36FF"/>
          <w:sz w:val="17"/>
        </w:rPr>
        <w:t xml:space="preserve">COMEX-06 — </w:t>
      </w:r>
      <w:r>
        <w:rPr>
          <w:rFonts w:ascii="Inter" w:hAnsi="Inter"/>
          <w:b w:val="0"/>
          <w:i w:val="0"/>
          <w:color w:val="0D0F12"/>
          <w:sz w:val="17"/>
        </w:rPr>
        <w:t>WCO Data Model. Modelo armonizado para intercambio de datos transfronterizos. https://www.wcoomd.org/DataModel</w:t>
      </w:r>
    </w:p>
    <w:p>
      <w:r>
        <w:rPr>
          <w:rFonts w:ascii="Inter" w:hAnsi="Inter"/>
          <w:b/>
          <w:i w:val="0"/>
          <w:color w:val="6C36FF"/>
          <w:sz w:val="17"/>
        </w:rPr>
        <w:t xml:space="preserve">COMEX-07 — </w:t>
      </w:r>
      <w:r>
        <w:rPr>
          <w:rFonts w:ascii="Inter" w:hAnsi="Inter"/>
          <w:b w:val="0"/>
          <w:i w:val="0"/>
          <w:color w:val="0D0F12"/>
          <w:sz w:val="17"/>
        </w:rPr>
        <w:t>ICC Incoterms 2020. Versión vigente de reglas Incoterms. https://iccwbo.org/business-solutions/incoterms-rules/</w:t>
      </w:r>
    </w:p>
    <w:p>
      <w:pPr>
        <w:pStyle w:val="Heading1"/>
      </w:pPr>
      <w:r>
        <w:t>15. Fuentes internas de Base Proyecto</w:t>
      </w:r>
    </w:p>
    <w:p>
      <w:r>
        <w:rPr>
          <w:rFonts w:ascii="Inter" w:hAnsi="Inter"/>
          <w:b/>
          <w:i w:val="0"/>
          <w:color w:val="6C36FF"/>
          <w:sz w:val="17"/>
        </w:rPr>
        <w:t xml:space="preserve">BASE-07 — </w:t>
      </w:r>
      <w:r>
        <w:rPr>
          <w:rFonts w:ascii="Inter" w:hAnsi="Inter"/>
          <w:b w:val="0"/>
          <w:i w:val="0"/>
          <w:color w:val="0D0F12"/>
          <w:sz w:val="17"/>
        </w:rPr>
        <w:t>06_BIBLIOTECA_PLANTILLAS_NEXT_DOC_AI_V7_20260823.docx. Fuente principal del catálogo existente, overlays y Context Recommender.</w:t>
      </w:r>
    </w:p>
    <w:p>
      <w:r>
        <w:rPr>
          <w:rFonts w:ascii="Inter" w:hAnsi="Inter"/>
          <w:b/>
          <w:i w:val="0"/>
          <w:color w:val="6C36FF"/>
          <w:sz w:val="17"/>
        </w:rPr>
        <w:t xml:space="preserve">BASE-02 — </w:t>
      </w:r>
      <w:r>
        <w:rPr>
          <w:rFonts w:ascii="Inter" w:hAnsi="Inter"/>
          <w:b w:val="0"/>
          <w:i w:val="0"/>
          <w:color w:val="0D0F12"/>
          <w:sz w:val="17"/>
        </w:rPr>
        <w:t>02_PRODUCTO_COMERCIAL_SPR084_NEXT_DOC_AI_V7_20260823.docx. Ejemplo export terrestre, cross-document y arquitectura comercial.</w:t>
      </w:r>
    </w:p>
    <w:p>
      <w:r>
        <w:rPr>
          <w:rFonts w:ascii="Inter" w:hAnsi="Inter"/>
          <w:b/>
          <w:i w:val="0"/>
          <w:color w:val="6C36FF"/>
          <w:sz w:val="17"/>
        </w:rPr>
        <w:t xml:space="preserve">BASE-05 — </w:t>
      </w:r>
      <w:r>
        <w:rPr>
          <w:rFonts w:ascii="Inter" w:hAnsi="Inter"/>
          <w:b w:val="0"/>
          <w:i w:val="0"/>
          <w:color w:val="0D0F12"/>
          <w:sz w:val="17"/>
        </w:rPr>
        <w:t>N2-SPR084-V7-NEXT_DOC_AI_ARQUITECTURA_FLUJOS_ESCENARIOS.docx. Modelo de flows, plantilla/overlay/subproceso/instancia y terceros.</w:t>
      </w:r>
    </w:p>
    <w:p>
      <w:r>
        <w:rPr>
          <w:rFonts w:ascii="Inter" w:hAnsi="Inter"/>
          <w:b/>
          <w:i w:val="0"/>
          <w:color w:val="6C36FF"/>
          <w:sz w:val="17"/>
        </w:rPr>
        <w:t xml:space="preserve">BASE-06 — </w:t>
      </w:r>
      <w:r>
        <w:rPr>
          <w:rFonts w:ascii="Inter" w:hAnsi="Inter"/>
          <w:b w:val="0"/>
          <w:i w:val="0"/>
          <w:color w:val="0D0F12"/>
          <w:sz w:val="17"/>
        </w:rPr>
        <w:t>N3-SPR084-V7-NEXT_DOC_AI_ESPECIFICACION_DESARROLLO_QA_UX.docx. APIs y casos QA de templates, external links y versioning.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65" w:bottom="893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5040"/>
      <w:gridCol w:w="5040"/>
    </w:tblGrid>
    <w:tr>
      <w:tc>
        <w:tcPr>
          <w:tcW w:type="dxa" w:w="5040"/>
        </w:tcPr>
        <w:p>
          <w:pPr>
            <w:jc w:val="left"/>
          </w:pPr>
          <w:r>
            <w:rPr>
              <w:rFonts w:ascii="Inter" w:hAnsi="Inter"/>
              <w:b w:val="0"/>
              <w:i w:val="0"/>
              <w:color w:val="6C36FF"/>
              <w:sz w:val="14"/>
            </w:rPr>
            <w:t>Tus documentos saben qué hacer después.</w:t>
          </w:r>
        </w:p>
      </w:tc>
      <w:tc>
        <w:tcPr>
          <w:tcW w:type="dxa" w:w="5040"/>
        </w:tcPr>
        <w:p>
          <w:pPr>
            <w:jc w:val="right"/>
          </w:pPr>
          <w:r>
            <w:rPr>
              <w:rFonts w:ascii="Inter" w:hAnsi="Inter"/>
              <w:b w:val="0"/>
              <w:i w:val="0"/>
              <w:color w:val="6B7280"/>
              <w:sz w:val="14"/>
            </w:rPr>
            <w:t>Septiembre 2026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Inter" w:hAnsi="Inter"/>
        <w:b w:val="0"/>
        <w:i w:val="0"/>
        <w:color w:val="6B7280"/>
        <w:sz w:val="14"/>
      </w:rPr>
      <w:t>NEXT DOC AI  |  Anexo COMEX / Plantillas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Inter" w:hAnsi="Inter"/>
      <w:color w:val="0D0F1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Inter Display" w:hAnsi="Inter Display"/>
      <w:b/>
      <w:bCs/>
      <w:color w:val="0D0F1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Inter Display" w:hAnsi="Inter Display"/>
      <w:b/>
      <w:bCs/>
      <w:color w:val="6C36F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Inter Display" w:hAnsi="Inter Display"/>
      <w:b/>
      <w:bCs/>
      <w:color w:val="FF1E1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Inter Display" w:hAnsi="Inter Display"/>
      <w:b/>
      <w:color w:val="0D0F1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rPr>
      <w:rFonts w:ascii="Inter" w:hAnsi="Inter"/>
      <w:b/>
      <w:color w:val="6B7280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