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9C6D50"/>
          <w:sz w:val="18"/>
        </w:rPr>
        <w:t>DOCUMENTAÇÃO COMPLETA  /  VERSÃO COM RECONHECIMENTO AO VIVO</w:t>
      </w:r>
    </w:p>
    <w:p>
      <w:pPr>
        <w:pStyle w:val="Title"/>
      </w:pPr>
      <w:r>
        <w:t>Sinal</w:t>
        <w:br/>
        <w:t>Do gesto à letra</w:t>
      </w:r>
    </w:p>
    <w:p>
      <w:pPr>
        <w:pStyle w:val="Subtitle"/>
      </w:pPr>
      <w:r>
        <w:t>Guia do projeto, do código e das decisões técnicas.</w:t>
      </w:r>
    </w:p>
    <w:p>
      <w:r>
        <w:t>Este documento explica a versão que exibe “Letra X confirmada” sobre a câmera. A entrega inclui frontend React, modelo SpellNet convertido, serviços Python, esquemas de banco, testes, design system, ADRs e instruções de execução.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2E5"/>
          </w:tcPr>
          <w:p>
            <w:pPr>
              <w:spacing w:before="140" w:after="140"/>
            </w:pPr>
            <w:r>
              <w:rPr>
                <w:b/>
                <w:color w:val="244B3B"/>
              </w:rPr>
              <w:t>A distinção mais importante</w:t>
              <w:br/>
            </w:r>
            <w:r>
              <w:t>O reconhecimento ao vivo atual usa imagens recortadas com o modelo pré-treinado SpellNet. O pipeline próprio de 63 coordenadas, com Pandas e NumPy, existe separadamente e ainda não substitui o SpellNet na câmera.</w:t>
            </w:r>
          </w:p>
        </w:tc>
      </w:tr>
    </w:tbl>
    <w:p>
      <w:pPr>
        <w:pStyle w:val="Heading2"/>
      </w:pPr>
      <w:r>
        <w:t>Estado real da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Câmera e reconhecimento</w:t>
            </w:r>
          </w:p>
        </w:tc>
        <w:tc>
          <w:tcPr>
            <w:tcW w:type="dxa" w:w="7313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Implementados: MediaPipe + SpellNet/ONNX no navegador, com confirmação temporal e limpeza ao perder a mão.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Tradução e prática</w:t>
            </w:r>
          </w:p>
        </w:tc>
        <w:tc>
          <w:tcPr>
            <w:tcW w:type="dxa" w:w="7313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Texto por adição de letras confirmadas; demonstração identificada; prática A–D com autoavaliação manual.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Serviços e bancos</w:t>
            </w:r>
          </w:p>
        </w:tc>
        <w:tc>
          <w:tcPr>
            <w:tcW w:type="dxa" w:w="7313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Código e Docker Compose preparados. MySQL/SQL Server não foram iniciados nem conectados ao front nesta entrega.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Modelo próprio</w:t>
            </w:r>
          </w:p>
        </w:tc>
        <w:tc>
          <w:tcPr>
            <w:tcW w:type="dxa" w:w="7313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Pipeline tabular experimental implementado; ainda depende de dados consentidos e avaliação antes de uso ao vivo.</w:t>
            </w:r>
          </w:p>
        </w:tc>
      </w:tr>
    </w:tbl>
    <w:p>
      <w:pPr>
        <w:pStyle w:val="Heading2"/>
      </w:pPr>
      <w:r>
        <w:t>Como ler o guia</w:t>
      </w:r>
    </w:p>
    <w:p>
      <w:r>
        <w:t>2. Execução e uso • 3. Webcam e MediaPipe • 4. Modelo e pré-processamento • 5. Confirmação temporal • 6. Arquitetura • 7. APIs e bancos • 8. Dados e treinamento • 9. Design system e UX • 10. Docker e conversão • 11. Testes e diagnóstico • 12. ADRs, glossário e fontes.</w:t>
      </w:r>
    </w:p>
    <w:p>
      <w:r>
        <w:t>A confirmação significa que a previsão permaneceu estável; não garante correção linguística. O Sinal explora o alfabeto manual e não traduz frases nem a gramática de Libras.</w:t>
      </w:r>
    </w:p>
    <w:p>
      <w:r>
        <w:t>Referência do código: commit 47a6380e488536b42beb15757301cc95fa7f18f3.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02</w:t>
      </w:r>
    </w:p>
    <w:p>
      <w:pPr>
        <w:pStyle w:val="Heading1"/>
      </w:pPr>
      <w:r>
        <w:t>Executar e usar o projeto</w:t>
      </w:r>
    </w:p>
    <w:p>
      <w:pPr>
        <w:pStyle w:val="Heading2"/>
      </w:pPr>
      <w:r>
        <w:t>O que vem no ZIP</w:t>
      </w:r>
    </w:p>
    <w:p>
      <w:r>
        <w:t>A pasta Sinal contém src/, public/, services/, scripts/, contracts/, docs/, dist/, configurações e arquivos de dependências. O modelo ONNX está em public/models/spellnet. A pasta documentacao contém este Word e seu gerador.</w:t>
      </w:r>
    </w:p>
    <w:p>
      <w:r>
        <w:t>dist/ é o frontend já compilado. node_modules, ambiente virtual, histórico Git, caches e senhas reais não entram na entrega. As dependências podem ser reinstaladas pelos arquivos de configuração. O .env.example contém somente os campos a preencher.</w:t>
      </w:r>
    </w:p>
    <w:p>
      <w:pPr>
        <w:pStyle w:val="Heading2"/>
      </w:pPr>
      <w:r>
        <w:t>Rodar o frontend para desenvolver</w:t>
      </w:r>
    </w:p>
    <w:p>
      <w:r>
        <w:t>Requer Node.js 24 LTS, npm e uma webcam. Dentro da pasta Sinal, execute: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npm ci</w:t>
        <w:br/>
        <w:t>npm run dev</w:t>
      </w:r>
    </w:p>
    <w:p>
      <w:r>
        <w:t>Abra o endereço Local impresso pelo Vite. A câmera exige localhost ou HTTPS. Não abra index.html diretamente pelo explorador de arquivos.</w:t>
      </w:r>
    </w:p>
    <w:p>
      <w:pPr>
        <w:pStyle w:val="Heading2"/>
      </w:pPr>
      <w:r>
        <w:t>Ver a versão compilada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npm run build</w:t>
        <w:br/>
        <w:t>npm run preview</w:t>
      </w:r>
    </w:p>
    <w:p>
      <w:r>
        <w:t>O build já incluído também pode ser servido com Python, sem instalar as dependências do frontend: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python -m http.server 4173 --directory dist</w:t>
      </w:r>
    </w:p>
    <w:p>
      <w:r>
        <w:t>Depois, abra http://localhost:4173. Mesmo com o build local, o primeiro uso do detector MediaPipe precisa de acesso aos arquivos externos indicados na página 3.</w:t>
      </w:r>
    </w:p>
    <w:p>
      <w:pPr>
        <w:pStyle w:val="Heading2"/>
      </w:pPr>
      <w:r>
        <w:t>Usar o reconhecimento</w:t>
      </w:r>
    </w:p>
    <w:p>
      <w:pPr>
        <w:pStyle w:val="ListBullet"/>
        <w:spacing w:after="80"/>
      </w:pPr>
      <w:r>
        <w:t>Clique em Ativar câmera e autorize o acesso no navegador.</w:t>
      </w:r>
    </w:p>
    <w:p>
      <w:pPr>
        <w:pStyle w:val="ListBullet"/>
        <w:spacing w:after="80"/>
      </w:pPr>
      <w:r>
        <w:t>Posicione uma mão inteira, com boa iluminação, e mantenha o sinal por alguns instantes.</w:t>
      </w:r>
    </w:p>
    <w:p>
      <w:pPr>
        <w:pStyle w:val="ListBullet"/>
        <w:spacing w:after="80"/>
      </w:pPr>
      <w:r>
        <w:t>Após a previsão estabilizar, veja “Letra X confirmada” no vídeo e a letra no painel.</w:t>
      </w:r>
    </w:p>
    <w:p>
      <w:pPr>
        <w:pStyle w:val="ListBullet"/>
        <w:spacing w:after="80"/>
      </w:pPr>
      <w:r>
        <w:t>Clique em Adicionar letra ou use Enter para compor o texto; copie ou baixe o resultado.</w:t>
      </w:r>
    </w:p>
    <w:p>
      <w:pPr>
        <w:pStyle w:val="ListBullet"/>
        <w:spacing w:after="80"/>
      </w:pPr>
      <w:r>
        <w:t>Retire a mão ou mude o gesto: a confirmação anterior deve desaparecer até uma nova estabilização.</w:t>
      </w:r>
    </w:p>
    <w:p>
      <w:r>
        <w:t>O modo prática continua manual: “Consegui fazer o sinal” registra sua própria avaliação. A demonstração usa exemplos ilustrativos e não mede a imagem da câmera.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03</w:t>
      </w:r>
    </w:p>
    <w:p>
      <w:pPr>
        <w:pStyle w:val="Heading1"/>
      </w:pPr>
      <w:r>
        <w:t>Webcam e detecção de pontos</w:t>
      </w:r>
    </w:p>
    <w:p>
      <w:pPr>
        <w:pStyle w:val="Heading2"/>
      </w:pPr>
      <w:r>
        <w:t>Captura nativa do navegador</w:t>
      </w:r>
    </w:p>
    <w:p>
      <w:r>
        <w:t>navigator.mediaDevices.getUserMedia() solicita apenas vídeo. O pedido acontece depois do clique, não ao abrir a página. browserCamera implementa a integração, mantendo a API do navegador fora do domínio.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Função / estrutura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Responsabilidade e escolha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useCamera()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Controla câmera, vídeo, detector e estados. Centraliza a limpeza dos recursos ao cancelar, desligar ou sair da área da câmera.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start()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Solicita MediaStream, conecta ao vídeo e aguarda play(). A geração da solicitação impede que uma autorização tardia reative uma captura cancelada.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stop()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Encerra todas as tracks, limpa srcObject e os pontos, e invalida solicitações anteriores.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cameraError()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Traduz falhas em mensagens: acesso negado, webcam ausente, ocupada ou navegador sem suporte adequado.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createHandDetector()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Importa MediaPipe sob demanda e cria um HandLandmarker em modo VIDEO, configurado para uma mão.</w:t>
            </w:r>
          </w:p>
        </w:tc>
      </w:tr>
    </w:tbl>
    <w:p>
      <w:pPr>
        <w:pStyle w:val="Heading2"/>
      </w:pPr>
      <w:r>
        <w:t>O que são os landmarks</w:t>
      </w:r>
    </w:p>
    <w:p>
      <w:r>
        <w:t>O detector pré-treinado encontra 21 pontos: punho e articulações dos dedos. Cada um tem x, y e z; uma mão produz 63 números. MediaPipe localiza a mão; ele não é o classificador de letras do projeto.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type Landmark = { x: number; y: number; z: number };</w:t>
        <w:br/>
        <w:t>21 pontos × 3 coordenadas = 63 valores</w:t>
      </w:r>
    </w:p>
    <w:p>
      <w:pPr>
        <w:pStyle w:val="Heading2"/>
      </w:pPr>
      <w:r>
        <w:t>Cadência, vídeo e espelhamento</w:t>
      </w:r>
    </w:p>
    <w:p>
      <w:r>
        <w:t>requestAnimationFrame() acompanha a exibição do vídeo. A aplicação só analisa um frame novo e respeita um intervalo mínimo de cerca de 80 ms entre detecções. Isso limita o trabalho sem prometer FPS fixo em todos os aparelhos.</w:t>
      </w:r>
    </w:p>
    <w:p>
      <w:r>
        <w:t>A sobreposição usa HAND_CONNECTIONS para desenhar as ligações entre pontos. O espelhamento é visual: o modelo recebe a imagem original. Desligar “Mostrar pontos” oculta o desenho da tela, mas não desativa os pontos usados na classificação.</w:t>
      </w:r>
    </w:p>
    <w:p>
      <w:pPr>
        <w:pStyle w:val="Heading2"/>
      </w:pPr>
      <w:r>
        <w:t>Arquivos carregados no primeiro uso</w:t>
      </w:r>
    </w:p>
    <w:p>
      <w:r>
        <w:t>O detector baixa WASM de cdn.jsdelivr.net e o modelo hand_landmarker.task de storage.googleapis.com. A imagem da webcam permanece local. Se o carregamento falhar, o vídeo pode continuar disponível, mas o reconhecimento depende da detecção da mão.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04</w:t>
      </w:r>
    </w:p>
    <w:p>
      <w:pPr>
        <w:pStyle w:val="Heading1"/>
      </w:pPr>
      <w:r>
        <w:t>Como o modelo reconhece uma letra</w:t>
      </w:r>
    </w:p>
    <w:p>
      <w:pPr>
        <w:pStyle w:val="Heading2"/>
      </w:pPr>
      <w:r>
        <w:t>Modelo atual: SpellNet Libras</w:t>
      </w:r>
    </w:p>
    <w:p>
      <w:r>
        <w:t>O modelo fornecido é uma CNN baseada em MobileNet, publicada por RAIA / SignLink em formato Keras. Para executá-lo sem servidor, o projeto o converteu para ONNX e usa ONNX Runtime Web com WebAssembly.</w:t>
      </w:r>
    </w:p>
    <w:p>
      <w:r>
        <w:t>As classes seguem a ordem do código original, não o alfabeto completo por suposição: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A B C D E F G I L M N O P Q R S T U V W Y</w:t>
      </w:r>
    </w:p>
    <w:p>
      <w:r>
        <w:t>São 21 classes estáticas. H, J, K, X e Z não estão nesse modelo. A biblioteca recebe os scores de saída nessa ordem; trocar a ordem poderia exibir uma letra errada mesmo com o modelo funcionando.</w:t>
      </w:r>
    </w:p>
    <w:p>
      <w:pPr>
        <w:pStyle w:val="Heading2"/>
      </w:pPr>
      <w:r>
        <w:t>prepareFrame(): preparar exatamente a entrada esperada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O que acontece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1. Validar</w:t>
            </w:r>
          </w:p>
        </w:tc>
        <w:tc>
          <w:tcPr>
            <w:tcW w:type="dxa" w:w="765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Confere dimensões do vídeo e a presença dos 21 pontos. Não classifica sem mão detectada.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2. Recortar</w:t>
            </w:r>
          </w:p>
        </w:tc>
        <w:tc>
          <w:tcPr>
            <w:tcW w:type="dxa" w:w="765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Calcula os limites da mão em pixels, acrescenta 100 pixels de margem e respeita os limites da imagem.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3. Redimensionar</w:t>
            </w:r>
          </w:p>
        </w:tc>
        <w:tc>
          <w:tcPr>
            <w:tcW w:type="dxa" w:w="765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Desenha o recorte num Canvas de 224 × 224 pixels.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4. Marcar pontos</w:t>
            </w:r>
          </w:p>
        </w:tc>
        <w:tc>
          <w:tcPr>
            <w:tcW w:type="dxa" w:w="765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Converte as posições para o recorte; desenha conexões verdes e pontos vermelhos, seguindo o processamento publicado.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5. Ajustar canais</w:t>
            </w:r>
          </w:p>
        </w:tc>
        <w:tc>
          <w:tcPr>
            <w:tcW w:type="dxa" w:w="765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Lê RGBA do Canvas, usa a ordem BGR do fluxo OpenCV original e descarta o canal alfa.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6. Normalizar pixels</w:t>
            </w:r>
          </w:p>
        </w:tc>
        <w:tc>
          <w:tcPr>
            <w:tcW w:type="dxa" w:w="765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Aplica pixel / 127,5 − 1; os valores ficam aproximadamente entre −1 e 1.</w:t>
            </w:r>
          </w:p>
        </w:tc>
      </w:tr>
    </w:tbl>
    <w:p>
      <w:pPr>
        <w:pStyle w:val="Heading2"/>
      </w:pPr>
      <w:r>
        <w:t>createSpellNetClassifier() e selectPrediction()</w:t>
      </w:r>
    </w:p>
    <w:p>
      <w:r>
        <w:t>O adaptador cria uma sessão ONNX, monta o tensor float32 com formato [1, 224, 224, 3] e executa predict(). selectPrediction() verifica o tamanho e os valores da saída e encontra o maior score. O resultado contém letter, confidence e modelVersion.</w:t>
      </w:r>
    </w:p>
    <w:p>
      <w:r>
        <w:t>O runtime usa uma thread WASM e os arquivos são empacotados pelo Vite. A sessão e os tensores são liberados ao encerrar o reconhecimento. O modelo tem aproximadamente 17 MB; o runtime WASM, cerca de 12 MB.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2E5"/>
          </w:tcPr>
          <w:p>
            <w:pPr>
              <w:spacing w:before="140" w:after="140"/>
            </w:pPr>
            <w:r>
              <w:rPr>
                <w:b/>
                <w:color w:val="244B3B"/>
              </w:rPr>
              <w:t>Duas normalizações diferentes</w:t>
              <w:br/>
            </w:r>
            <w:r>
              <w:t>No SpellNet, normalizam-se pixels da imagem. Na proposta de modelo próprio, normalizam-se as coordenadas da mão. São entradas diferentes e não podem ser trocadas sem retreinar ou adaptar o modelo.</w:t>
            </w:r>
          </w:p>
        </w:tc>
      </w:tr>
    </w:tbl>
    <w:p>
      <w:pPr>
        <w:pageBreakBefore/>
        <w:spacing w:after="160"/>
      </w:pPr>
      <w:r>
        <w:rPr>
          <w:b/>
          <w:color w:val="9C6D50"/>
          <w:sz w:val="18"/>
        </w:rPr>
        <w:t>GUIA TÉCNICO  /  05</w:t>
      </w:r>
    </w:p>
    <w:p>
      <w:pPr>
        <w:pStyle w:val="Heading1"/>
      </w:pPr>
      <w:r>
        <w:t>Quando aparece “Letra A confirmada”</w:t>
      </w:r>
    </w:p>
    <w:p>
      <w:pPr>
        <w:pStyle w:val="Heading2"/>
      </w:pPr>
      <w:r>
        <w:t>useRecognition(): coordenar a inferência</w:t>
      </w:r>
    </w:p>
    <w:p>
      <w:r>
        <w:t>O hook carrega o classificador somente com a câmera ativa. Guarda a referência dos pontos mais recentes e realiza uma inferência de cada vez. Depois de concluir, agenda a próxima tentativa com intervalo de 220 ms; a velocidade real também depende do tempo gasto pelo modelo.</w:t>
      </w:r>
    </w:p>
    <w:p>
      <w:r>
        <w:t>Essa serialização evita acumular tarefas e classificar uma fila de frames antigos. Ao desligar, o hook cancela o agendamento, ignora respostas tardias e libera a sessão depois da inferência pendente.</w:t>
      </w:r>
    </w:p>
    <w:p>
      <w:pPr>
        <w:pStyle w:val="Heading2"/>
      </w:pPr>
      <w:r>
        <w:t>RecognitionGate: filtrar oscilações</w:t>
      </w:r>
    </w:p>
    <w:p>
      <w:r>
        <w:t>Um único frame pode produzir uma previsão passageira. A classe RecognitionGate mantém uma candidata e só libera a indicação quando todas as condições abaixo são atendidas:</w:t>
      </w:r>
    </w:p>
    <w:p>
      <w:pPr>
        <w:pStyle w:val="ListBullet"/>
        <w:spacing w:after="80"/>
      </w:pPr>
      <w:r>
        <w:t>A classe pertence às 21 letras disponíveis.</w:t>
      </w:r>
    </w:p>
    <w:p>
      <w:pPr>
        <w:pStyle w:val="ListBullet"/>
        <w:spacing w:after="80"/>
      </w:pPr>
      <w:r>
        <w:t>O score softmax é finito e pelo menos 0,80.</w:t>
      </w:r>
    </w:p>
    <w:p>
      <w:pPr>
        <w:pStyle w:val="ListBullet"/>
        <w:spacing w:after="80"/>
      </w:pPr>
      <w:r>
        <w:t>Há no mínimo três observações consecutivas da mesma candidata.</w:t>
      </w:r>
    </w:p>
    <w:p>
      <w:pPr>
        <w:pStyle w:val="ListBullet"/>
        <w:spacing w:after="80"/>
      </w:pPr>
      <w:r>
        <w:t>A candidata permanece a mesma por pelo menos 650 ms.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observe(previsao, agora)</w:t>
        <w:br/>
        <w:t xml:space="preserve">  → valida classe e score</w:t>
        <w:br/>
        <w:t xml:space="preserve">  → atualiza candidata, tempo e contagem</w:t>
        <w:br/>
        <w:t xml:space="preserve">  → retorna a letra somente após estabilidade</w:t>
      </w:r>
    </w:p>
    <w:p>
      <w:r>
        <w:t>reset() apaga candidata, instante inicial e contagem. A aplicação faz isso ao perder a mão, cair abaixo do limiar ou interromper a câmera. Uma classe diferente reinicia a estabilização. Erros no detector também limpam os pontos para não manter uma letra antiga.</w:t>
      </w:r>
    </w:p>
    <w:p>
      <w:pPr>
        <w:pStyle w:val="Heading2"/>
      </w:pPr>
      <w:r>
        <w:t>Como a tela usa o resultado</w:t>
      </w:r>
    </w:p>
    <w:p>
      <w:r>
        <w:t>O App mostra a previsão estável sobre o vídeo e no painel “Sua tradução”. Enquanto o resultado ainda não estabilizou, exibe uma orientação. Uma letra confirmada pode ser adicionada ao texto por ação explícita; a aplicação não repete letras automaticamente a cada frame.</w:t>
      </w:r>
    </w:p>
    <w:p>
      <w:r>
        <w:t>Quando a mão deixa de ser detectada, a indicação é removida e o painel volta ao estado de espera. A demonstração mantém exemplos claramente identificados, separados do resultado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2E5"/>
          </w:tcPr>
          <w:p>
            <w:pPr>
              <w:spacing w:before="140" w:after="140"/>
            </w:pPr>
            <w:r>
              <w:rPr>
                <w:b/>
                <w:color w:val="244B3B"/>
              </w:rPr>
              <w:t>O significado da confirmação</w:t>
              <w:br/>
            </w:r>
            <w:r>
              <w:t>O limiar 0,80 é uma regra de interface aplicada ao score do modelo. Não significa 80% de precisão comprovada. “Confirmada” indica concordância temporal das previsões, não certificação de que o sinal foi feito corretamente.</w:t>
            </w:r>
          </w:p>
        </w:tc>
      </w:tr>
    </w:tbl>
    <w:p>
      <w:pPr>
        <w:pageBreakBefore/>
        <w:spacing w:after="160"/>
      </w:pPr>
      <w:r>
        <w:rPr>
          <w:b/>
          <w:color w:val="9C6D50"/>
          <w:sz w:val="18"/>
        </w:rPr>
        <w:t>GUIA TÉCNICO  /  06</w:t>
      </w:r>
    </w:p>
    <w:p>
      <w:pPr>
        <w:pStyle w:val="Heading1"/>
      </w:pPr>
      <w:r>
        <w:t>Arquitetura limpa e organização</w:t>
      </w:r>
    </w:p>
    <w:p>
      <w:pPr>
        <w:pStyle w:val="Heading2"/>
      </w:pPr>
      <w:r>
        <w:t>Separar regras, integrações e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Pasta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O que contém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src/domain/</w:t>
            </w:r>
          </w:p>
        </w:tc>
        <w:tc>
          <w:tcPr>
            <w:tcW w:type="dxa" w:w="7370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Landmark, Prediction, normalização, portas, classes do modelo e filtro temporal. Regras sem dependência de React ou MediaPipe.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src/application/</w:t>
            </w:r>
          </w:p>
        </w:tc>
        <w:tc>
          <w:tcPr>
            <w:tcW w:type="dxa" w:w="7370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Hooks de câmera, reconhecimento, prática, tradução e armazenamento, com dependências injetadas.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src/infrastructure/</w:t>
            </w:r>
          </w:p>
        </w:tc>
        <w:tc>
          <w:tcPr>
            <w:tcW w:type="dxa" w:w="7370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browserCamera, detector MediaPipe e adaptador SpellNet/ONNX. APIs de navegador e bibliotecas externas ficam aqui.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src/presentation/</w:t>
            </w:r>
          </w:p>
        </w:tc>
        <w:tc>
          <w:tcPr>
            <w:tcW w:type="dxa" w:w="7370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App organiza páginas e painéis. Componentes e estilos separados por responsabilidade; useWorkspace compõe os estados visuais.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services/</w:t>
            </w:r>
          </w:p>
        </w:tc>
        <w:tc>
          <w:tcPr>
            <w:tcW w:type="dxa" w:w="7370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Dois serviços Python independentes, cada um com domínio ou pipeline, API e repositório próprios.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docs/ e contracts/</w:t>
            </w:r>
          </w:p>
        </w:tc>
        <w:tc>
          <w:tcPr>
            <w:tcW w:type="dxa" w:w="7370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Arquitetura, design system, verificação, glossário, decisões e contratos HTTP/CSV.</w:t>
            </w:r>
          </w:p>
        </w:tc>
      </w:tr>
    </w:tbl>
    <w:p>
      <w:pPr>
        <w:pStyle w:val="Heading2"/>
      </w:pPr>
      <w:r>
        <w:t>Portas e adaptadores</w:t>
      </w:r>
    </w:p>
    <w:p>
      <w:r>
        <w:t>Uma porta descreve um contrato. Um adaptador implementa a integração concreta. Isso reduz o acoplamento: o domínio não precisa conhecer os detalhes de uma webcam ou de uma biblioteca de inferência.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Porta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Contrato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CameraPort</w:t>
            </w:r>
          </w:p>
        </w:tc>
        <w:tc>
          <w:tcPr>
            <w:tcW w:type="dxa" w:w="7370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start() devolve a captura; stop() encerra a captura.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HandDetectorPort</w:t>
            </w:r>
          </w:p>
        </w:tc>
        <w:tc>
          <w:tcPr>
            <w:tcW w:type="dxa" w:w="7370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detect() devolve pontos ou null; dispose() libera o detector.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ClassifierPort</w:t>
            </w:r>
          </w:p>
        </w:tc>
        <w:tc>
          <w:tcPr>
            <w:tcW w:type="dxa" w:w="7370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Contrato reservado para o modelo próprio: recebe coordenadas normalizadas e devolve Prediction.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FrameClassifierPort</w:t>
            </w:r>
          </w:p>
        </w:tc>
        <w:tc>
          <w:tcPr>
            <w:tcW w:type="dxa" w:w="7370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Contrato do SpellNet atual: recebe vídeo e landmarks para o recorte; devolve Prediction; dispose() libera a sessão.</w:t>
            </w:r>
          </w:p>
        </w:tc>
      </w:tr>
    </w:tbl>
    <w:p>
      <w:pPr>
        <w:pStyle w:val="Heading2"/>
      </w:pPr>
      <w:r>
        <w:t>Por que dois contratos de classificação?</w:t>
      </w:r>
    </w:p>
    <w:p>
      <w:r>
        <w:t>O modelo original do Sinal foi pensado para 63 coordenadas. O SpellNet selecionado usa pixels. Criar FrameClassifierPort preserva essa diferença em vez de fingir que ambos recebem os mesmos dados.</w:t>
      </w:r>
    </w:p>
    <w:p>
      <w:r>
        <w:t>O frontend permanece uma aplicação React. A orientação a microserviços aparece nos limites dos serviços Python, na propriedade dos bancos e nos contratos versionados. Não foi adicionado um broker ou Kubernetes sem uma necessidade atual.</w:t>
      </w:r>
    </w:p>
    <w:p>
      <w:r>
        <w:t>main.tsx injeta AppServices criado em bootstrap/services.ts. Os hooks dependem de contratos, incluindo StoragePort e TextPort. npm run check verifica automaticamente os limites entre camadas.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07</w:t>
      </w:r>
    </w:p>
    <w:p>
      <w:pPr>
        <w:pStyle w:val="Heading1"/>
      </w:pPr>
      <w:r>
        <w:t>Serviços, MySQL e SQL Server</w:t>
      </w:r>
    </w:p>
    <w:p>
      <w:pPr>
        <w:pStyle w:val="Heading2"/>
      </w:pPr>
      <w:r>
        <w:t>Prática: MySQL</w:t>
      </w:r>
    </w:p>
    <w:p>
      <w:r>
        <w:t>O serviço practice usa FastAPI e MySQL 8.4. PracticeSession.create() valida a letra A–D e tentativas de 1 a 100, gera um UUID e define evaluation como manual. MySQLPracticeRepository salva com parâmetros SQL e lista o catálogo.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Dados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practice_letters</w:t>
            </w:r>
          </w:p>
        </w:tc>
        <w:tc>
          <w:tcPr>
            <w:tcW w:type="dxa" w:w="708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Letra e instrução. A chave da letra é referenciada pelas sessões.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practice_sessions</w:t>
            </w:r>
          </w:p>
        </w:tc>
        <w:tc>
          <w:tcPr>
            <w:tcW w:type="dxa" w:w="708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UUID, letra, tentativas, avaliação manual e data. Há chave estrangeira e restrições para avaliação e tentativas.</w:t>
            </w:r>
          </w:p>
        </w:tc>
      </w:tr>
    </w:tbl>
    <w:p>
      <w:pPr>
        <w:pStyle w:val="Heading2"/>
      </w:pPr>
      <w:r>
        <w:t>Treinamento: SQL Server</w:t>
      </w:r>
    </w:p>
    <w:p>
      <w:r>
        <w:t>O serviço training usa FastAPI e SQL Server 2022 Developer. SQLServerExperimentRepository registra o resumo do dataset e o experimento numa transação. Os JSONs armazenam o baseline próprio e suas métricas, não as imagens da câmera.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Dados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dataset_versions</w:t>
            </w:r>
          </w:p>
        </w:tc>
        <w:tc>
          <w:tcPr>
            <w:tcW w:type="dxa" w:w="708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SHA-256 do CSV, quantidade de linhas, quantidade de participantes e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experiments</w:t>
            </w:r>
          </w:p>
        </w:tc>
        <w:tc>
          <w:tcPr>
            <w:tcW w:type="dxa" w:w="708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UUID, referência ao dataset, parâmetros em JSON, métricas em JSON e data.</w:t>
            </w:r>
          </w:p>
        </w:tc>
      </w:tr>
    </w:tbl>
    <w:p>
      <w:pPr>
        <w:pStyle w:val="Heading2"/>
      </w:pPr>
      <w:r>
        <w:t>Contratos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Rotas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Prática • porta 8001</w:t>
            </w:r>
          </w:p>
        </w:tc>
        <w:tc>
          <w:tcPr>
            <w:tcW w:type="dxa" w:w="708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GET /v1/letters</w:t>
              <w:br/>
              <w:t>POST /v1/sessions com letter e attempts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Treinamento • porta 8002</w:t>
            </w:r>
          </w:p>
        </w:tc>
        <w:tc>
          <w:tcPr>
            <w:tcW w:type="dxa" w:w="708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POST /v1/experiments com dataset_csv e seed</w:t>
              <w:br/>
              <w:t>GET /v1/experiments/{uuid}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Ambos</w:t>
            </w:r>
          </w:p>
        </w:tc>
        <w:tc>
          <w:tcPr>
            <w:tcW w:type="dxa" w:w="708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GET /health: processo ativo</w:t>
              <w:br/>
              <w:t>GET /ready: conexão e esquema do banco</w:t>
              <w:br/>
              <w:t>/docs e /openapi.json: documentação dos contratos</w:t>
            </w:r>
          </w:p>
        </w:tc>
      </w:tr>
    </w:tbl>
    <w:p>
      <w:r>
        <w:t>FastAPI valida entradas com Pydantic. SQLAlchemy gerencia conexões e consultas, usando PyMySQL para MySQL e pymssql para SQL Server. Dados inválidos retornam 422; indisponibilidade de banco retorna 503; experimento ausente retorna 404.</w:t>
      </w:r>
    </w:p>
    <w:p>
      <w:pPr>
        <w:pStyle w:val="Heading2"/>
      </w:pPr>
      <w:r>
        <w:t>Por que essa divisão?</w:t>
      </w:r>
    </w:p>
    <w:p>
      <w:r>
        <w:t>MySQL e SQL Server atendem ao requisito de stack, com responsabilidades próprias para evitar duplicação obrigatória. Cada serviço é dono de seu banco; não faz consultas cruzadas. A escolha permite evolução independente, mas aumenta o custo de operação.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2E5"/>
          </w:tcPr>
          <w:p>
            <w:pPr>
              <w:spacing w:before="140" w:after="140"/>
            </w:pPr>
            <w:r>
              <w:rPr>
                <w:b/>
                <w:color w:val="244B3B"/>
              </w:rPr>
              <w:t>Estado da integração</w:t>
              <w:br/>
            </w:r>
            <w:r>
              <w:t>As APIs são uma base local. O front usa localStorage e não chama esses serviços. Eles não são necessários para reconhecer letras; autenticação e integração consentida ainda precisam ser implementadas antes de exposição externa.</w:t>
            </w:r>
          </w:p>
        </w:tc>
      </w:tr>
    </w:tbl>
    <w:p>
      <w:pPr>
        <w:pageBreakBefore/>
        <w:spacing w:after="160"/>
      </w:pPr>
      <w:r>
        <w:rPr>
          <w:b/>
          <w:color w:val="9C6D50"/>
          <w:sz w:val="18"/>
        </w:rPr>
        <w:t>GUIA TÉCNICO  /  08</w:t>
      </w:r>
    </w:p>
    <w:p>
      <w:pPr>
        <w:pStyle w:val="Heading1"/>
      </w:pPr>
      <w:r>
        <w:t>Pandas, NumPy e o modelo próprio</w:t>
      </w:r>
    </w:p>
    <w:p>
      <w:pPr>
        <w:pStyle w:val="Heading2"/>
      </w:pPr>
      <w:r>
        <w:t>O formato do dataset</w:t>
      </w:r>
    </w:p>
    <w:p>
      <w:r>
        <w:t>O pipeline recebe CSV de coordenadas. O arquivo deve ter exatamente letter, participant_id e x0,y0,z0 até x20,y20,z20. participant_id é um pseudônimo de até 64 caracteres em letras, números, sublinhado e hífen.</w:t>
      </w:r>
    </w:p>
    <w:p>
      <w:r>
        <w:t>A fase inicial aceita A–D, pelo menos duas classes e três participantes. Treino e teste precisam conter as mesmas letras; cada letra precisa de pelo menos dez exemplos no conjunto de treino.</w:t>
      </w:r>
    </w:p>
    <w:p>
      <w:pPr>
        <w:pStyle w:val="Heading2"/>
      </w:pPr>
      <w:r>
        <w:t>train_baseline():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Funções e operações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Leitura e validação</w:t>
            </w:r>
          </w:p>
        </w:tc>
        <w:tc>
          <w:tcPr>
            <w:tcW w:type="dxa" w:w="759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pd.read_csv() lê o CSV; isin(), isna(), fullmatch() e pd.to_numeric() verificam schema, rótulos e valores. Colunas extras e dados inválidos são rejeitados.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Normalização</w:t>
            </w:r>
          </w:p>
        </w:tc>
        <w:tc>
          <w:tcPr>
            <w:tcW w:type="dxa" w:w="759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normalize_landmarks() usa arrays NumPy e operações vetoriais para centralizar e ajustar os lotes de mãos.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Divisão</w:t>
            </w:r>
          </w:p>
        </w:tc>
        <w:tc>
          <w:tcPr>
            <w:tcW w:type="dxa" w:w="759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np.random.default_rng(seed) embaralha participantes. O teste recebe max(1, participantes // 4) participantes completos; o restante fica no treino.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Modelo baseline</w:t>
            </w:r>
          </w:p>
        </w:tc>
        <w:tc>
          <w:tcPr>
            <w:tcW w:type="dxa" w:w="759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Calcula o centroide de cada classe pela média. Distâncias euclidianas ao centroide determinam a classe prevista.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Saída</w:t>
            </w:r>
          </w:p>
        </w:tc>
        <w:tc>
          <w:tcPr>
            <w:tcW w:type="dxa" w:w="759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Exporta modelo, métricas e SHA-256 do CSV. O baseline é marcado validatedForProduction=false.</w:t>
            </w:r>
          </w:p>
        </w:tc>
      </w:tr>
    </w:tbl>
    <w:p>
      <w:pPr>
        <w:pStyle w:val="Heading2"/>
      </w:pPr>
      <w:r>
        <w:t>normalizeLandmarks() e normalize_landmarks()</w:t>
      </w:r>
    </w:p>
    <w:p>
      <w:r>
        <w:t>TypeScript e Python aplicam a mesma regra wrist-max-radius-v1: subtrair o punho de cada ponto e dividir todos pela maior distância 3D até o punho. O resultado é um vetor em ordem x0,y0,z0,...,x20,y20,z20.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qᵢ = pᵢ − p₀</w:t>
        <w:br/>
        <w:t>s = maior distância entre qᵢ e a origem</w:t>
        <w:br/>
        <w:t>vetor = qᵢ / s</w:t>
      </w:r>
    </w:p>
    <w:p>
      <w:r>
        <w:t>A função TypeScript usa map(), Math.hypot(), Math.max() e flatMap(). Python usa broadcasting e np.linalg.norm(). Ambas rejeitam quantidade ou formato incorreto, coordenadas não finitas e mãos degeneradas.</w:t>
      </w:r>
    </w:p>
    <w:p>
      <w:r>
        <w:t>A regra remove translação e escala uniforme; não resolve rotação, lateralidade ou movimento. Separar os participantes evita avaliar o modelo com a mesma pessoa que ele já viu no treino.</w:t>
      </w:r>
    </w:p>
    <w:p>
      <w:pPr>
        <w:pStyle w:val="Heading2"/>
      </w:pPr>
      <w:r>
        <w:t>Métricas e limites</w:t>
      </w:r>
    </w:p>
    <w:p>
      <w:r>
        <w:t>O pipeline calcula accuracy, macroRecall e recallByLetter, além das contagens do split. O baseline de centroides é uma referência experimental, sem confiança calibrada. O JSON exportado não é instalado no frontend automaticamente e não altera o SpellNet ao vivo.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09</w:t>
      </w:r>
    </w:p>
    <w:p>
      <w:pPr>
        <w:pStyle w:val="Heading1"/>
      </w:pPr>
      <w:r>
        <w:t>Design system, UX e privacidade</w:t>
      </w:r>
    </w:p>
    <w:p>
      <w:pPr>
        <w:pStyle w:val="Heading2"/>
      </w:pPr>
      <w:r>
        <w:t>Identidade e componentes</w:t>
      </w:r>
    </w:p>
    <w:p>
      <w:r>
        <w:t>O design usa verde profundo, fundo claro, tons vegetais e um detalhe terracota. DM Sans organiza a interface; Instrument Serif dá expressão aos títulos. As fontes são locais, com licenças OFL. Lucide fornece os ícones.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Tokens CSS</w:t>
            </w:r>
          </w:p>
        </w:tc>
        <w:tc>
          <w:tcPr>
            <w:tcW w:type="dxa" w:w="7483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Centralizam cores, espaço, tipografia e raios em styles.css. Permitem ajustes consistentes.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Button</w:t>
            </w:r>
          </w:p>
        </w:tc>
        <w:tc>
          <w:tcPr>
            <w:tcW w:type="dxa" w:w="7483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Variantes primary, secondary e ghost, ícone opcional e disabled nativo.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Tag</w:t>
            </w:r>
          </w:p>
        </w:tc>
        <w:tc>
          <w:tcPr>
            <w:tcW w:type="dxa" w:w="7483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Estados neutral, green e orange com legenda textual.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Toggle</w:t>
            </w:r>
          </w:p>
        </w:tc>
        <w:tc>
          <w:tcPr>
            <w:tcW w:type="dxa" w:w="7483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Checkbox associado a rótulo, descrição e foco visível.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HandIllustration</w:t>
            </w:r>
          </w:p>
        </w:tc>
        <w:tc>
          <w:tcPr>
            <w:tcW w:type="dxa" w:w="7483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Referências esquemáticas A–D. Não equivalem a material linguístico validado.</w:t>
            </w:r>
          </w:p>
        </w:tc>
      </w:tr>
    </w:tbl>
    <w:p>
      <w:pPr>
        <w:pStyle w:val="Heading2"/>
      </w:pPr>
      <w:r>
        <w:t>Fluxos da interface</w:t>
      </w:r>
    </w:p>
    <w:p>
      <w:r>
        <w:t>A câmera tem estados explícitos de espera, solicitação, captura e erro. O reconhecimento tem idle, loading, ready e error. Há orientação enquanto o modelo carrega ou o gesto não estabiliza, em vez de mostrar uma letra arbitrária.</w:t>
      </w:r>
    </w:p>
    <w:p>
      <w:r>
        <w:t>A interface contém demonstração, prática manual, alfabeto inicial A–D, progresso, preferências e página do projeto. O diálogo de ajuda usa dialog nativo; as abas aceitam teclado; o menu mobile é ocultado quando fechado. O layout e as animações respeitam o espaço disponível e prefers-reduced-motion.</w:t>
      </w:r>
    </w:p>
    <w:p>
      <w:pPr>
        <w:pStyle w:val="Heading2"/>
      </w:pPr>
      <w:r>
        <w:t>Persistência: useStoredState()</w:t>
      </w:r>
    </w:p>
    <w:p>
      <w:r>
        <w:t>O hook tenta ler e validar o JSON do localStorage. Se o armazenamento não estiver disponível ou contiver dados inválidos, usa o valor inicial. As atualizações mantêm a interface utilizável mesmo se a gravação local falhar.</w:t>
      </w:r>
    </w:p>
    <w:p>
      <w:r>
        <w:t>As chaves sinal.preferences.v1 e sinal.practice.v1 guardam preferências e contagens de prática. Não existe sincronização entre aparelhos, conta de usuário ou garantia de preservação após limpar os dados do navegador.</w:t>
      </w:r>
    </w:p>
    <w:p>
      <w:pPr>
        <w:pStyle w:val="Heading2"/>
      </w:pPr>
      <w:r>
        <w:t>Atalhos e texto</w:t>
      </w:r>
    </w:p>
    <w:p>
      <w:r>
        <w:t>Com uma letra atual disponível, Enter adiciona a letra, espaço separa palavras e Backspace apaga, desde que o foco não esteja num campo ou botão. Os botões também permitem editar, copiar e baixar um arquivo de texto.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2E5"/>
          </w:tcPr>
          <w:p>
            <w:pPr>
              <w:spacing w:before="140" w:after="140"/>
            </w:pPr>
            <w:r>
              <w:rPr>
                <w:b/>
                <w:color w:val="244B3B"/>
              </w:rPr>
              <w:t>Privacidade por construção</w:t>
              <w:br/>
            </w:r>
            <w:r>
              <w:t>Não é solicitado microfone. Vídeo e recortes são processados em memória no dispositivo e não são enviados às APIs. Os modelos precisam ser baixados. O endpoint de treinamento só recebe CSV quando alguém o envia explicitamente fora do fluxo atual do front.</w:t>
            </w:r>
          </w:p>
        </w:tc>
      </w:tr>
    </w:tbl>
    <w:p>
      <w:pPr>
        <w:pageBreakBefore/>
        <w:spacing w:after="160"/>
      </w:pPr>
      <w:r>
        <w:rPr>
          <w:b/>
          <w:color w:val="9C6D50"/>
          <w:sz w:val="18"/>
        </w:rPr>
        <w:t>GUIA TÉCNICO  /  10</w:t>
      </w:r>
    </w:p>
    <w:p>
      <w:pPr>
        <w:pStyle w:val="Heading1"/>
      </w:pPr>
      <w:r>
        <w:t>Docker e reprodução dos modelos</w:t>
      </w:r>
    </w:p>
    <w:p>
      <w:pPr>
        <w:pStyle w:val="Heading2"/>
      </w:pPr>
      <w:r>
        <w:t>Subir os serviços opcionais</w:t>
      </w:r>
    </w:p>
    <w:p>
      <w:r>
        <w:t>Requer Docker Compose. A imagem oficial de SQL Server usada é x86-64; reserve memória suficiente, no mínimo 2 GB só para o SQL Server. Developer é destinada a desenvolvimento e testes.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# Linux / macOS</w:t>
        <w:br/>
        <w:t>cp .env.example .env</w:t>
        <w:br/>
        <w:br/>
        <w:t># PowerShell</w:t>
        <w:br/>
        <w:t>Copy-Item .env.example .env</w:t>
      </w:r>
    </w:p>
    <w:p>
      <w:r>
        <w:t>Preencha todas as senhas no .env. A senha administrativa do SQL Server deve atender à política do banco. A senha de aplicação usa 12–128 caracteres entre A–Z, a–z, 0–9, _ @ ! % -, com complexidade adequada. Não versione o arquivo preenchido.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docker compose --env-file .env up --build</w:t>
      </w:r>
    </w:p>
    <w:p>
      <w:r>
        <w:t>O MySQL inicializa seu esquema no primeiro volume. O job sqlserver-init cria o login da aplicação, o banco e as tabelas. O serviço training não usa sa. As APIs ficam em 127.0.0.1:8001 e 127.0.0.1:8002; os bancos não publicam portas no host.</w:t>
      </w:r>
    </w:p>
    <w:p>
      <w:r>
        <w:t>Alterar senhas no .env não altera automaticamente os usuários dos volumes existentes. Faça a rotação no banco correspondente. Antes de exposição externa, ainda são necessários autenticação, autorização, limites, CORS explícito, backups e migrações.</w:t>
      </w:r>
    </w:p>
    <w:p>
      <w:pPr>
        <w:pStyle w:val="Heading2"/>
      </w:pPr>
      <w:r>
        <w:t>Executar o pipeline Python sem banco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python -m venv .venv</w:t>
        <w:br/>
        <w:t># Linux/macOS: source .venv/bin/activate</w:t>
        <w:br/>
        <w:t># PowerShell: .\.venv\Scripts\Activate.ps1</w:t>
        <w:br/>
        <w:t>pip install -r requirements-dev.txt</w:t>
      </w:r>
    </w:p>
    <w:p>
      <w:r>
        <w:t>No Linux/macOS: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PYTHONPATH=services/training python -m app dataset.csv --output baseline.json</w:t>
      </w:r>
    </w:p>
    <w:p>
      <w:r>
        <w:t>No PowerShell, defina $env:PYTHONPATH="services/training" e execute python -m app dataset.csv --output baseline.json. O CSV não vem pronto: deve ser obtido de fonte autorizada ou coletado com consentimento.</w:t>
      </w:r>
    </w:p>
    <w:p>
      <w:pPr>
        <w:pStyle w:val="Heading2"/>
      </w:pPr>
      <w:r>
        <w:t>Reproduzir a conversão SpellNet → ONNX</w:t>
      </w:r>
    </w:p>
    <w:p>
      <w:r>
        <w:t>A conversão já está entregue; não precisa ser repetida para usar a câmera. Para reproduzi-la, use um ambiente Python 3.12 separado, instale tensorflow-cpu==2.19.1, keras==3.8.0, tf2onnx==1.17.0 e onnxruntime==1.23.2 e obtenha o .keras original da fonte indicada na página 12.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python scripts/convert_spellnet.py modelo-original.keras public/models/spellnet</w:t>
      </w:r>
    </w:p>
    <w:p>
      <w:r>
        <w:t>O script carrega com safe_mode=True e compile=False, converte com opset 17, compara saídas e argmax e gera o manifest.json com hashes. Isso verifica conversão matemática, não a qualidade de reconhecimento de Libras.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11</w:t>
      </w:r>
    </w:p>
    <w:p>
      <w:pPr>
        <w:pStyle w:val="Heading1"/>
      </w:pPr>
      <w:r>
        <w:t>Verificações e diagnóstico</w:t>
      </w:r>
    </w:p>
    <w:p>
      <w:pPr>
        <w:pStyle w:val="Heading2"/>
      </w:pPr>
      <w:r>
        <w:t>O que foi verificado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Evidência e limite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Build e domínio frontend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Tipos, arquitetura e build aprovados; 6 testes de domínio. Uma dependência proibida foi rejeitada na verificação de camadas.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Serviços Python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18 testes de domínio, pipeline e HTTP. APIs recebem serviços e repositórios por injeção; verificam validação, falhas e readiness sem criar conexões reais.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Keras versus ONNX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Duas entradas sintéticas, mesmo argmax e maior erro absoluto de aproximadamente 4,32 × 10⁻⁹. Não é métrica de precisão de sinais.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Fluxo real no navegador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Stream de Canvas com imagens de referência A e B; MediaPipe e ONNX reais identificaram as letras. Verificados adição ao texto, limpeza sem mão e desligamento.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Experiência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Na primeira entrega: demonstração, clipboard, download, persistência, menu mobile, teclado e ausência de overflow horizontal em 390/768/1024/1440 px.</w:t>
            </w:r>
          </w:p>
        </w:tc>
      </w:tr>
    </w:tbl>
    <w:p>
      <w:pPr>
        <w:pStyle w:val="Heading2"/>
      </w:pPr>
      <w:r>
        <w:t>Como executar os testes</w:t>
      </w:r>
    </w:p>
    <w:p>
      <w:pPr>
        <w:spacing w:before="100" w:after="180"/>
        <w:shd w:fill="F0F3EB"/>
      </w:pPr>
      <w:r>
        <w:rPr>
          <w:rFonts w:ascii="Consolas" w:hAnsi="Consolas"/>
          <w:sz w:val="18"/>
        </w:rPr>
        <w:t>npm test</w:t>
        <w:br/>
        <w:t>npm run build</w:t>
        <w:br/>
        <w:br/>
        <w:t># Com o ambiente Python e requirements-dev.txt instalados:</w:t>
        <w:br/>
        <w:t>PYTHONPATH=services/practice python -m unittest discover -s services/practice/tests -v</w:t>
        <w:br/>
        <w:t>PYTHONPATH=services/training python -m unittest discover -s services/training/tests -v</w:t>
      </w:r>
    </w:p>
    <w:p>
      <w:r>
        <w:t>No PowerShell, defina $env:PYTHONPATH para o serviço antes de cada comando python. Os roteiros de browser usados na entrega não foram adicionados como uma suíte portátil ao projeto; a evidência e os limites estão em docs/verification.md.</w:t>
      </w:r>
    </w:p>
    <w:p>
      <w:pPr>
        <w:pStyle w:val="Heading2"/>
      </w:pPr>
      <w:r>
        <w:t>Problemas comuns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O que conferir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Câmera não abre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Use localhost/HTTPS, libere a permissão do site e feche programas que estejam usando a webcam.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Reconhecimento carrega sem terminar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Confira rede, download do modelo e arquivos WASM. Reative a câmera após corrigir a conexão.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Mão aparece, mas não confirma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Melhore a luz, mostre a mão inteira, mantenha o gesto e confira se a letra pertence às 21 classes.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 letra está errada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O modelo é experimental. Fundo, câmera, proporção, mão e estilo podem diferir dos dados originais. Não há precisão garantida.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API retorna 503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Verifique o serviço e o esquema do banco. A interface local não depende desses endpoints.</w:t>
            </w:r>
          </w:p>
        </w:tc>
      </w:tr>
    </w:tbl>
    <w:p>
      <w:r>
        <w:t>A webcam física da pessoa usuária não foi exercitada neste ambiente. Não houve avaliação independente com novos sinalizantes, nem validação completa das 21 classes. O build estático não inclui bancos em execução.</w:t>
      </w:r>
    </w:p>
    <w:p>
      <w:pPr>
        <w:pageBreakBefore/>
        <w:spacing w:after="160"/>
      </w:pPr>
      <w:r>
        <w:rPr>
          <w:b/>
          <w:color w:val="9C6D50"/>
          <w:sz w:val="18"/>
        </w:rPr>
        <w:t>GUIA TÉCNICO  /  12</w:t>
      </w:r>
    </w:p>
    <w:p>
      <w:pPr>
        <w:pStyle w:val="Heading1"/>
      </w:pPr>
      <w:r>
        <w:t>Decisões, glossário e referências</w:t>
      </w:r>
    </w:p>
    <w:p>
      <w:pPr>
        <w:pStyle w:val="Heading2"/>
      </w:pPr>
      <w:r>
        <w:t>ADRs entregues</w:t>
      </w:r>
    </w:p>
    <w:p>
      <w:r>
        <w:t>001: processamento no navegador • 002: camadas e portas • 003: MySQL e SQL Server por serviço • 004: Pandas/NumPy e baseline de coordenadas • 005: design system • 006: reconhecimento ao vivo por SpellNet. 007: composição explícita, componentes e limites de dependência. O ADR 006 explica a entrada por imagem.</w:t>
      </w:r>
    </w:p>
    <w:p>
      <w:pPr>
        <w:pStyle w:val="Heading2"/>
      </w:pPr>
      <w:r>
        <w:t>Glossário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4819"/>
            <w:shd w:fill="244B3B"/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Libras / datilologia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Língua Brasileira de Sinais / soletração por alfabeto manual, recorte deste projeto.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Landmark / feature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Ponto estimado da mão / valor usado como entrada do modelo.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Inferência / treinamento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Aplicar parâmetros já aprendidos / aprender parâmetros a partir de exemplos.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CNN / MobileNet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Rede neural para padrões em imagens / arquitetura usada como base do SpellNet.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ONNX / WASM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Formato de representação de modelos / tecnologia que executa o runtime no navegador.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Softmax / confirmação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Scores relativos entre classes / concordância temporal exigida pela interface.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Holdout / centroide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Conjunto separado para avaliação / vetor médio de uma classe.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Porta / adaptador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Contrato de integração / implementação concreta desse contrato.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Microserviço / ADR</w:t>
            </w:r>
          </w:p>
        </w:tc>
        <w:tc>
          <w:tcPr>
            <w:tcW w:type="dxa" w:w="7257"/>
            <w:vAlign w:val="center"/>
            <w:shd w:fill="F1F4EC"/>
          </w:tcPr>
          <w:p>
            <w:pPr>
              <w:spacing w:before="80" w:after="80" w:line="252" w:lineRule="auto"/>
            </w:pPr>
            <w:r>
              <w:rPr>
                <w:sz w:val="18"/>
              </w:rPr>
              <w:t>Serviço com responsabilidade e dados próprios / registro de decisão arquitetural.</w:t>
            </w:r>
          </w:p>
        </w:tc>
      </w:tr>
    </w:tbl>
    <w:p>
      <w:pPr>
        <w:pStyle w:val="Heading2"/>
      </w:pPr>
      <w:r>
        <w:t>Origem e atribuição</w:t>
      </w:r>
    </w:p>
    <w:p>
      <w:r>
        <w:t>Modelo original: RAIA / SignLink. O Sinal não treinou o SpellNet. A versão consultada não apresentava licença explícita do modelo; essa ausência está registrada em NOTICE.txt e no ADR 006, sem atribuir uma licença presumida.</w:t>
      </w:r>
    </w:p>
    <w:p>
      <w:r>
        <w:t>Modelo e arquivo original:</w:t>
        <w:br/>
        <w:t>https://huggingface.co/RAIA-BRASIL/spellnet_libras</w:t>
        <w:br/>
        <w:t>Código e ordem das classes:</w:t>
        <w:br/>
        <w:t>https://github.com/gruporaia/SpellNet/blob/main/app/video_processing.py</w:t>
        <w:br/>
        <w:t>Pré-processamento original:</w:t>
        <w:br/>
        <w:t>https://github.com/gruporaia/SpellNet/blob/main/app/preprocessing/signlink_preprocessing.py</w:t>
      </w:r>
    </w:p>
    <w:p>
      <w:r>
        <w:t>O modelo convertido, os checksums, as classes e o erro de conversão estão em public/models/spellnet/manifest.json. A licença MIT do ONNX Runtime fica em public/runtime; as fontes locais incluem suas licenças OFL.</w:t>
      </w:r>
    </w:p>
    <w:p>
      <w:pPr>
        <w:pStyle w:val="Heading2"/>
      </w:pPr>
      <w:r>
        <w:t>Evolução recomendada</w:t>
      </w:r>
    </w:p>
    <w:p>
      <w:r>
        <w:t>Validar referências com pessoas surdas e profissionais de Libras; coletar coordenadas consentidas; avaliar generalização por participante; evoluir o classificador próprio; tratar letras com movimento por sequência temporal; e integrar os serviços somente após autenticação e consentimento definidos.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48265"/>
        <w:sz w:val="16"/>
      </w:rPr>
      <w:t xml:space="preserve">Sinal • Reconhecimento ao vivo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44B3B"/>
        <w:sz w:val="30"/>
      </w:rPr>
      <w:t>sinal.</w:t>
    </w:r>
    <w:r>
      <w:rPr>
        <w:color w:val="748265"/>
        <w:sz w:val="16"/>
      </w:rPr>
      <w:t xml:space="preserve">   |   GUIA DE FUNCIONAMENTO E DECISÕES TÉCNICAS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31453B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44B3B"/>
      <w:sz w:val="46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4B3B"/>
      <w:sz w:val="28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244B3B"/>
      <w:sz w:val="22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244B3B"/>
      <w:spacing w:val="5"/>
      <w:kern w:val="28"/>
      <w:sz w:val="68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748265"/>
      <w:spacing w:val="15"/>
      <w:sz w:val="28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Calibri" w:hAnsi="Calibri"/>
      <w:color w:val="31453B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Sinal — documentação completa da versão com reconhecimento ao vivo</dc:title>
  <dc:subject>Funcionamento, funções, arquitetura, instalação, dados, modelo e limites.</dc:subject>
  <dc:creator>Projeto Sinal</dc:creator>
  <cp:keywords>Libras, React, TypeScript, MediaPipe, MySQL, SQL Server, Pandas, NumPy</cp:keywords>
  <dc:description/>
  <cp:lastModifiedBy/>
  <cp:revision>1</cp:revision>
  <dcterms:created xsi:type="dcterms:W3CDTF">2026-10-28T15:10:11Z</dcterms:created>
  <dcterms:modified xsi:type="dcterms:W3CDTF">2026-10-28T15:10:11Z</dcterms:modified>
  <cp:category/>
</cp:coreProperties>
</file>