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 trata de una base de datos de una supertienda y/o supermercado que opera a lo largo de todo latinoamérica y contiene ventas y entregas de distintos productos de oficina.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su vez, estos datos están divididos en segmentos según compradores y categorías y subcategorías de producto, así como también a que lugar geográfico fueron enviados y cuando (fecha) se realizó la venta y/o entrega abarcando un rango de fechas desde el año 2015 a inicios del año 2019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Mediante el análisis de los datos de Ventas, Ganancias, Descuentos,se pretende realizar un modelo de pronóstico de ventas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ello, en primera instancia, se realiza un EDA para sacar algunas conclusiones que den respuesta 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¿Las ventas tienen un comportamiento lineal a través de los años?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¿Productos más caros representan mayores ventas? ¿O las mayores Ventas se deben a mayor cantidad vendida?</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¿Qué tipo de relación tienen las ganancias con las ventas? En qué categoría hubo mayor impacto o margen de ganancia? </w:t>
      </w: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u w:val="single"/>
          <w:rtl w:val="0"/>
        </w:rPr>
        <w:t xml:space="preserve">1)- Estadísticas descriptivas: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 primera instancia se realiza un análisis estadístico en base a las variables numéricas: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dcdcdc"/>
          <w:sz w:val="26"/>
          <w:szCs w:val="26"/>
        </w:rPr>
      </w:pPr>
      <w:r w:rsidDel="00000000" w:rsidR="00000000" w:rsidRPr="00000000">
        <w:rPr>
          <w:rFonts w:ascii="Courier New" w:cs="Courier New" w:eastAsia="Courier New" w:hAnsi="Courier New"/>
          <w:color w:val="dcdcdc"/>
          <w:sz w:val="26"/>
          <w:szCs w:val="26"/>
          <w:rtl w:val="0"/>
        </w:rPr>
        <w:t xml:space="preserve">[</w:t>
      </w:r>
      <w:r w:rsidDel="00000000" w:rsidR="00000000" w:rsidRPr="00000000">
        <w:rPr>
          <w:rFonts w:ascii="Courier New" w:cs="Courier New" w:eastAsia="Courier New" w:hAnsi="Courier New"/>
          <w:color w:val="ce9178"/>
          <w:sz w:val="26"/>
          <w:szCs w:val="26"/>
          <w:rtl w:val="0"/>
        </w:rPr>
        <w:t xml:space="preserve">"Venta"</w:t>
      </w:r>
      <w:r w:rsidDel="00000000" w:rsidR="00000000" w:rsidRPr="00000000">
        <w:rPr>
          <w:rFonts w:ascii="Courier New" w:cs="Courier New" w:eastAsia="Courier New" w:hAnsi="Courier New"/>
          <w:color w:val="dcdcdc"/>
          <w:sz w:val="26"/>
          <w:szCs w:val="26"/>
          <w:rtl w:val="0"/>
        </w:rPr>
        <w:t xml:space="preserve">,</w:t>
      </w:r>
      <w:r w:rsidDel="00000000" w:rsidR="00000000" w:rsidRPr="00000000">
        <w:rPr>
          <w:rFonts w:ascii="Courier New" w:cs="Courier New" w:eastAsia="Courier New" w:hAnsi="Courier New"/>
          <w:color w:val="d4d4d4"/>
          <w:sz w:val="26"/>
          <w:szCs w:val="26"/>
          <w:rtl w:val="0"/>
        </w:rPr>
        <w:t xml:space="preserve"> </w:t>
      </w:r>
      <w:r w:rsidDel="00000000" w:rsidR="00000000" w:rsidRPr="00000000">
        <w:rPr>
          <w:rFonts w:ascii="Courier New" w:cs="Courier New" w:eastAsia="Courier New" w:hAnsi="Courier New"/>
          <w:color w:val="ce9178"/>
          <w:sz w:val="26"/>
          <w:szCs w:val="26"/>
          <w:rtl w:val="0"/>
        </w:rPr>
        <w:t xml:space="preserve">"Cantidad"</w:t>
      </w:r>
      <w:r w:rsidDel="00000000" w:rsidR="00000000" w:rsidRPr="00000000">
        <w:rPr>
          <w:rFonts w:ascii="Courier New" w:cs="Courier New" w:eastAsia="Courier New" w:hAnsi="Courier New"/>
          <w:color w:val="dcdcdc"/>
          <w:sz w:val="26"/>
          <w:szCs w:val="26"/>
          <w:rtl w:val="0"/>
        </w:rPr>
        <w:t xml:space="preserve">,</w:t>
      </w:r>
      <w:r w:rsidDel="00000000" w:rsidR="00000000" w:rsidRPr="00000000">
        <w:rPr>
          <w:rFonts w:ascii="Courier New" w:cs="Courier New" w:eastAsia="Courier New" w:hAnsi="Courier New"/>
          <w:color w:val="d4d4d4"/>
          <w:sz w:val="26"/>
          <w:szCs w:val="26"/>
          <w:rtl w:val="0"/>
        </w:rPr>
        <w:t xml:space="preserve"> </w:t>
      </w:r>
      <w:r w:rsidDel="00000000" w:rsidR="00000000" w:rsidRPr="00000000">
        <w:rPr>
          <w:rFonts w:ascii="Courier New" w:cs="Courier New" w:eastAsia="Courier New" w:hAnsi="Courier New"/>
          <w:color w:val="ce9178"/>
          <w:sz w:val="26"/>
          <w:szCs w:val="26"/>
          <w:rtl w:val="0"/>
        </w:rPr>
        <w:t xml:space="preserve">"Descuento"</w:t>
      </w:r>
      <w:r w:rsidDel="00000000" w:rsidR="00000000" w:rsidRPr="00000000">
        <w:rPr>
          <w:rFonts w:ascii="Courier New" w:cs="Courier New" w:eastAsia="Courier New" w:hAnsi="Courier New"/>
          <w:color w:val="dcdcdc"/>
          <w:sz w:val="26"/>
          <w:szCs w:val="26"/>
          <w:rtl w:val="0"/>
        </w:rPr>
        <w:t xml:space="preserve">,</w:t>
      </w:r>
      <w:r w:rsidDel="00000000" w:rsidR="00000000" w:rsidRPr="00000000">
        <w:rPr>
          <w:rFonts w:ascii="Courier New" w:cs="Courier New" w:eastAsia="Courier New" w:hAnsi="Courier New"/>
          <w:color w:val="d4d4d4"/>
          <w:sz w:val="26"/>
          <w:szCs w:val="26"/>
          <w:rtl w:val="0"/>
        </w:rPr>
        <w:t xml:space="preserve"> </w:t>
      </w:r>
      <w:r w:rsidDel="00000000" w:rsidR="00000000" w:rsidRPr="00000000">
        <w:rPr>
          <w:rFonts w:ascii="Courier New" w:cs="Courier New" w:eastAsia="Courier New" w:hAnsi="Courier New"/>
          <w:color w:val="ce9178"/>
          <w:sz w:val="26"/>
          <w:szCs w:val="26"/>
          <w:rtl w:val="0"/>
        </w:rPr>
        <w:t xml:space="preserve">"Ganancia"</w:t>
      </w:r>
      <w:r w:rsidDel="00000000" w:rsidR="00000000" w:rsidRPr="00000000">
        <w:rPr>
          <w:rFonts w:ascii="Courier New" w:cs="Courier New" w:eastAsia="Courier New" w:hAnsi="Courier New"/>
          <w:color w:val="dcdcdc"/>
          <w:sz w:val="26"/>
          <w:szCs w:val="26"/>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Venta     Cantidad    Descuento      Ganancia</w:t>
      </w:r>
    </w:p>
    <w:p w:rsidR="00000000" w:rsidDel="00000000" w:rsidP="00000000" w:rsidRDefault="00000000" w:rsidRPr="00000000" w14:paraId="00000015">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count    2982.000000  2982.000000  2982.000000   2982.000000</w:t>
      </w:r>
    </w:p>
    <w:p w:rsidR="00000000" w:rsidDel="00000000" w:rsidP="00000000" w:rsidRDefault="00000000" w:rsidRPr="00000000" w14:paraId="00000016">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mean     2069.000000     3.797451     0.500899     94.825956</w:t>
      </w:r>
    </w:p>
    <w:p w:rsidR="00000000" w:rsidDel="00000000" w:rsidP="00000000" w:rsidRDefault="00000000" w:rsidRPr="00000000" w14:paraId="00000017">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std      3437.498079     2.214864     0.285242   1403.984975</w:t>
      </w:r>
    </w:p>
    <w:p w:rsidR="00000000" w:rsidDel="00000000" w:rsidP="00000000" w:rsidRDefault="00000000" w:rsidRPr="00000000" w14:paraId="00000018">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min        16.000000     1.000000     0.000000 -18062.000000</w:t>
      </w:r>
    </w:p>
    <w:p w:rsidR="00000000" w:rsidDel="00000000" w:rsidP="00000000" w:rsidRDefault="00000000" w:rsidRPr="00000000" w14:paraId="00000019">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25%       319.000000     2.000000     0.250000    -78.750000</w:t>
      </w:r>
    </w:p>
    <w:p w:rsidR="00000000" w:rsidDel="00000000" w:rsidP="00000000" w:rsidRDefault="00000000" w:rsidRPr="00000000" w14:paraId="0000001A">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50%       783.000000     3.000000     0.500000     60.000000</w:t>
      </w:r>
    </w:p>
    <w:p w:rsidR="00000000" w:rsidDel="00000000" w:rsidP="00000000" w:rsidRDefault="00000000" w:rsidRPr="00000000" w14:paraId="0000001B">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75%      2319.750000     5.000000     0.750000    296.000000</w:t>
      </w:r>
    </w:p>
    <w:p w:rsidR="00000000" w:rsidDel="00000000" w:rsidP="00000000" w:rsidRDefault="00000000" w:rsidRPr="00000000" w14:paraId="0000001C">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max     34731.000000    14.000000     1.000000   9881.000000</w:t>
      </w:r>
    </w:p>
    <w:p w:rsidR="00000000" w:rsidDel="00000000" w:rsidP="00000000" w:rsidRDefault="00000000" w:rsidRPr="00000000" w14:paraId="0000001D">
      <w:pPr>
        <w:rPr/>
      </w:pPr>
      <w:r w:rsidDel="00000000" w:rsidR="00000000" w:rsidRPr="00000000">
        <w:rPr>
          <w:rFonts w:ascii="Courier New" w:cs="Courier New" w:eastAsia="Courier New" w:hAnsi="Courier New"/>
          <w:color w:val="e3e3e3"/>
          <w:sz w:val="21"/>
          <w:szCs w:val="21"/>
          <w:shd w:fill="282a2c" w:val="clear"/>
          <w:rtl w:val="0"/>
        </w:rPr>
        <w:t xml:space="preserve">median    783.000000     3.000000     0.500000     60.000000</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En conjunto, hay </w:t>
      </w:r>
      <w:r w:rsidDel="00000000" w:rsidR="00000000" w:rsidRPr="00000000">
        <w:rPr>
          <w:b w:val="1"/>
          <w:bCs w:val="1"/>
          <w:sz w:val="24"/>
          <w:szCs w:val="24"/>
          <w:rtl w:val="0"/>
        </w:rPr>
        <w:t xml:space="preserve">alta dispersión</w:t>
      </w:r>
      <w:r w:rsidDel="00000000" w:rsidR="00000000" w:rsidRPr="00000000">
        <w:rPr>
          <w:sz w:val="24"/>
          <w:szCs w:val="24"/>
          <w:rtl w:val="0"/>
        </w:rPr>
        <w:t xml:space="preserve"> en ventas y ganancias, con </w:t>
      </w:r>
      <w:r w:rsidDel="00000000" w:rsidR="00000000" w:rsidRPr="00000000">
        <w:rPr>
          <w:b w:val="1"/>
          <w:bCs w:val="1"/>
          <w:sz w:val="24"/>
          <w:szCs w:val="24"/>
          <w:rtl w:val="0"/>
        </w:rPr>
        <w:t xml:space="preserve">posibles outliers</w:t>
      </w:r>
      <w:r w:rsidDel="00000000" w:rsidR="00000000" w:rsidRPr="00000000">
        <w:rPr>
          <w:sz w:val="24"/>
          <w:szCs w:val="24"/>
          <w:rtl w:val="0"/>
        </w:rPr>
        <w:t xml:space="preserve"> y </w:t>
      </w:r>
      <w:r w:rsidDel="00000000" w:rsidR="00000000" w:rsidRPr="00000000">
        <w:rPr>
          <w:b w:val="1"/>
          <w:bCs w:val="1"/>
          <w:sz w:val="24"/>
          <w:szCs w:val="24"/>
          <w:rtl w:val="0"/>
        </w:rPr>
        <w:t xml:space="preserve">descuentos agresivos</w:t>
      </w:r>
      <w:r w:rsidDel="00000000" w:rsidR="00000000" w:rsidRPr="00000000">
        <w:rPr>
          <w:sz w:val="24"/>
          <w:szCs w:val="24"/>
          <w:rtl w:val="0"/>
        </w:rPr>
        <w:t xml:space="preserve"> que pueden estar afectando la rentabilidad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u w:val="single"/>
        </w:rPr>
      </w:pPr>
      <w:r w:rsidDel="00000000" w:rsidR="00000000" w:rsidRPr="00000000">
        <w:rPr>
          <w:b w:val="1"/>
          <w:bCs w:val="1"/>
          <w:u w:val="single"/>
          <w:rtl w:val="0"/>
        </w:rPr>
        <w:t xml:space="preserve">2)-Distribución de las variables: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2798237" cy="1536095"/>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798237" cy="1536095"/>
                    </a:xfrm>
                    <a:prstGeom prst="rect"/>
                    <a:ln/>
                  </pic:spPr>
                </pic:pic>
              </a:graphicData>
            </a:graphic>
          </wp:inline>
        </w:drawing>
      </w:r>
      <w:r w:rsidDel="00000000" w:rsidR="00000000" w:rsidRPr="00000000">
        <w:rPr/>
        <w:drawing>
          <wp:inline distB="114300" distT="114300" distL="114300" distR="114300">
            <wp:extent cx="2533650" cy="1588105"/>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533650" cy="158810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distribución de ventas muestra que hay valores atípicos por encima de 5000 (dólares), para cantidades muy pequeñas, lo cual es un indicio de productos o ventas más caras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2757488" cy="1535816"/>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57488" cy="1535816"/>
                    </a:xfrm>
                    <a:prstGeom prst="rect"/>
                    <a:ln/>
                  </pic:spPr>
                </pic:pic>
              </a:graphicData>
            </a:graphic>
          </wp:inline>
        </w:drawing>
      </w:r>
      <w:r w:rsidDel="00000000" w:rsidR="00000000" w:rsidRPr="00000000">
        <w:rPr/>
        <w:drawing>
          <wp:inline distB="114300" distT="114300" distL="114300" distR="114300">
            <wp:extent cx="2471738" cy="1626853"/>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471738" cy="162685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Respecto de las cantidades, los valores atípicos están por encima de 8 unidades, pero por sí sola esta variable mucho no dice, ya que no se está relacionando con otra variable como puede ser ganancia o ventas.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2596391" cy="1462088"/>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96391" cy="1462088"/>
                    </a:xfrm>
                    <a:prstGeom prst="rect"/>
                    <a:ln/>
                  </pic:spPr>
                </pic:pic>
              </a:graphicData>
            </a:graphic>
          </wp:inline>
        </w:drawing>
      </w:r>
      <w:r w:rsidDel="00000000" w:rsidR="00000000" w:rsidRPr="00000000">
        <w:rPr/>
        <w:drawing>
          <wp:inline distB="114300" distT="114300" distL="114300" distR="114300">
            <wp:extent cx="2252663" cy="1512204"/>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252663" cy="151220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Para descuento, la distribución es bastante uniforme.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2576513" cy="144625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576513" cy="1446250"/>
                    </a:xfrm>
                    <a:prstGeom prst="rect"/>
                    <a:ln/>
                  </pic:spPr>
                </pic:pic>
              </a:graphicData>
            </a:graphic>
          </wp:inline>
        </w:drawing>
      </w:r>
      <w:r w:rsidDel="00000000" w:rsidR="00000000" w:rsidRPr="00000000">
        <w:rPr/>
        <w:drawing>
          <wp:inline distB="114300" distT="114300" distL="114300" distR="114300">
            <wp:extent cx="2438400" cy="1424301"/>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438400" cy="1424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Respecto de ganancia, más allá de ciertos valores atípicos, que indican que hay productos con mucho más margen que otros, es importante destacar que hay ganancias “negativas” lo cual indica que se han hecho descuentos o cesiones por encima del precio del producto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Relaciones entre Variables: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 la relación entre variables se puede inferir que la “Venta” no está relacionado de forma tan lineal con Cantidad y Ganancia, es decir, una mayor Venta no implica necesariamente una mayor cantidad y/o mayor ganancia. Por otro lado, la relación de Venta con descuento es débil, lo que implica que para mayores ventas no se han otorgado grandes descuentos.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1796031" cy="1513798"/>
            <wp:effectExtent b="0" l="0" r="0" t="0"/>
            <wp:docPr id="1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796031" cy="151379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2448947" cy="1852613"/>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448947" cy="1852613"/>
                    </a:xfrm>
                    <a:prstGeom prst="rect"/>
                    <a:ln/>
                  </pic:spPr>
                </pic:pic>
              </a:graphicData>
            </a:graphic>
          </wp:inline>
        </w:drawing>
      </w:r>
      <w:r w:rsidDel="00000000" w:rsidR="00000000" w:rsidRPr="00000000">
        <w:rPr/>
        <w:drawing>
          <wp:inline distB="114300" distT="114300" distL="114300" distR="114300">
            <wp:extent cx="2465457" cy="1824038"/>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65457"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u w:val="single"/>
        </w:rPr>
      </w:pPr>
      <w:r w:rsidDel="00000000" w:rsidR="00000000" w:rsidRPr="00000000">
        <w:rPr>
          <w:b w:val="1"/>
          <w:bCs w:val="1"/>
          <w:u w:val="single"/>
          <w:rtl w:val="0"/>
        </w:rPr>
        <w:t xml:space="preserve">Análisis Categórico: </w:t>
      </w:r>
    </w:p>
    <w:p w:rsidR="00000000" w:rsidDel="00000000" w:rsidP="00000000" w:rsidRDefault="00000000" w:rsidRPr="00000000" w14:paraId="00000040">
      <w:pPr>
        <w:spacing w:after="240" w:before="240" w:lineRule="auto"/>
        <w:rPr>
          <w:b w:val="1"/>
          <w:bCs w:val="1"/>
          <w:u w:val="single"/>
        </w:rPr>
      </w:pPr>
      <w:r w:rsidDel="00000000" w:rsidR="00000000" w:rsidRPr="00000000">
        <w:rPr>
          <w:rtl w:val="0"/>
        </w:rPr>
        <w:t xml:space="preserve">Mobiliario tiene mayores ventas pero la ganancia es menor. Tecnología y Material de oficina tienen márgenes bastante mejores, especialmente material de oficina</w:t>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bCs w:val="1"/>
          <w:color w:val="e3e3e3"/>
          <w:sz w:val="21"/>
          <w:szCs w:val="21"/>
          <w:u w:val="single"/>
          <w:shd w:fill="282a2c" w:val="clear"/>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                      </w:t>
      </w:r>
    </w:p>
    <w:p w:rsidR="00000000" w:rsidDel="00000000" w:rsidP="00000000" w:rsidRDefault="00000000" w:rsidRPr="00000000" w14:paraId="00000042">
      <w:pPr>
        <w:rPr>
          <w:rFonts w:ascii="Courier New" w:cs="Courier New" w:eastAsia="Courier New" w:hAnsi="Courier New"/>
          <w:b w:val="1"/>
          <w:bCs w:val="1"/>
          <w:color w:val="e3e3e3"/>
          <w:sz w:val="21"/>
          <w:szCs w:val="21"/>
          <w:u w:val="single"/>
          <w:shd w:fill="282a2c" w:val="clear"/>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Categoría              Venta  Ganancia               </w:t>
      </w:r>
    </w:p>
    <w:p w:rsidR="00000000" w:rsidDel="00000000" w:rsidP="00000000" w:rsidRDefault="00000000" w:rsidRPr="00000000" w14:paraId="00000043">
      <w:pPr>
        <w:rPr>
          <w:rFonts w:ascii="Courier New" w:cs="Courier New" w:eastAsia="Courier New" w:hAnsi="Courier New"/>
          <w:b w:val="1"/>
          <w:bCs w:val="1"/>
          <w:color w:val="e3e3e3"/>
          <w:sz w:val="21"/>
          <w:szCs w:val="21"/>
          <w:u w:val="single"/>
          <w:shd w:fill="282a2c" w:val="clear"/>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Mobiliario           2514321     59013</w:t>
      </w:r>
    </w:p>
    <w:p w:rsidR="00000000" w:rsidDel="00000000" w:rsidP="00000000" w:rsidRDefault="00000000" w:rsidRPr="00000000" w14:paraId="00000044">
      <w:pPr>
        <w:rPr>
          <w:rFonts w:ascii="Courier New" w:cs="Courier New" w:eastAsia="Courier New" w:hAnsi="Courier New"/>
          <w:b w:val="1"/>
          <w:bCs w:val="1"/>
          <w:color w:val="e3e3e3"/>
          <w:sz w:val="21"/>
          <w:szCs w:val="21"/>
          <w:u w:val="single"/>
          <w:shd w:fill="282a2c" w:val="clear"/>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Tecnología           2107111    123772</w:t>
      </w:r>
    </w:p>
    <w:p w:rsidR="00000000" w:rsidDel="00000000" w:rsidP="00000000" w:rsidRDefault="00000000" w:rsidRPr="00000000" w14:paraId="00000045">
      <w:pPr>
        <w:rPr>
          <w:b w:val="1"/>
          <w:bCs w:val="1"/>
          <w:u w:val="single"/>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Material de oficina  1548326     99986</w:t>
      </w: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b w:val="1"/>
          <w:bCs w:val="1"/>
          <w:u w:val="single"/>
        </w:rPr>
        <w:drawing>
          <wp:inline distB="114300" distT="114300" distL="114300" distR="114300">
            <wp:extent cx="2768072" cy="1894399"/>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768072" cy="1894399"/>
                    </a:xfrm>
                    <a:prstGeom prst="rect"/>
                    <a:ln/>
                  </pic:spPr>
                </pic:pic>
              </a:graphicData>
            </a:graphic>
          </wp:inline>
        </w:drawing>
      </w:r>
      <w:r w:rsidDel="00000000" w:rsidR="00000000" w:rsidRPr="00000000">
        <w:rPr>
          <w:b w:val="1"/>
          <w:bCs w:val="1"/>
          <w:u w:val="single"/>
        </w:rPr>
        <w:drawing>
          <wp:inline distB="114300" distT="114300" distL="114300" distR="114300">
            <wp:extent cx="2876049" cy="1865824"/>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876049" cy="186582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p w:rsidR="00000000" w:rsidDel="00000000" w:rsidP="00000000" w:rsidRDefault="00000000" w:rsidRPr="00000000" w14:paraId="00000049">
      <w:pPr>
        <w:rPr>
          <w:b w:val="1"/>
          <w:bCs w:val="1"/>
          <w:u w:val="single"/>
        </w:rPr>
      </w:pP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240" w:lineRule="auto"/>
        <w:ind w:left="0" w:firstLine="0"/>
        <w:rPr>
          <w:b w:val="1"/>
          <w:bCs w:val="1"/>
        </w:rPr>
      </w:pPr>
      <w:r w:rsidDel="00000000" w:rsidR="00000000" w:rsidRPr="00000000">
        <w:rPr>
          <w:b w:val="1"/>
          <w:bCs w:val="1"/>
          <w:rtl w:val="0"/>
        </w:rPr>
        <w:t xml:space="preserve">Evolución Temporal:</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De la evolución de ventas/ganancias se puede observar:</w:t>
      </w:r>
    </w:p>
    <w:p w:rsidR="00000000" w:rsidDel="00000000" w:rsidP="00000000" w:rsidRDefault="00000000" w:rsidRPr="00000000" w14:paraId="0000004D">
      <w:pPr>
        <w:numPr>
          <w:ilvl w:val="0"/>
          <w:numId w:val="1"/>
        </w:numPr>
        <w:spacing w:after="0" w:afterAutospacing="0" w:before="240" w:lineRule="auto"/>
        <w:ind w:left="720" w:hanging="360"/>
        <w:rPr>
          <w:u w:val="none"/>
        </w:rPr>
      </w:pPr>
      <w:r w:rsidDel="00000000" w:rsidR="00000000" w:rsidRPr="00000000">
        <w:rPr>
          <w:rtl w:val="0"/>
        </w:rPr>
        <w:t xml:space="preserve">Tendencia de las Ventas a la suba, pero las ganancias son bastantes estables. con valores mayores hasta mediados de 20216 y luego una leve tendencia a la disminución</w:t>
      </w:r>
    </w:p>
    <w:p w:rsidR="00000000" w:rsidDel="00000000" w:rsidP="00000000" w:rsidRDefault="00000000" w:rsidRPr="00000000" w14:paraId="0000004E">
      <w:pPr>
        <w:numPr>
          <w:ilvl w:val="0"/>
          <w:numId w:val="1"/>
        </w:numPr>
        <w:spacing w:after="0" w:afterAutospacing="0" w:before="0" w:beforeAutospacing="0" w:lineRule="auto"/>
        <w:ind w:left="720" w:hanging="360"/>
        <w:rPr>
          <w:u w:val="none"/>
        </w:rPr>
      </w:pPr>
      <w:r w:rsidDel="00000000" w:rsidR="00000000" w:rsidRPr="00000000">
        <w:rPr>
          <w:rtl w:val="0"/>
        </w:rPr>
        <w:t xml:space="preserve">Valores Atípicos (Máximos) de ventas para 2016-03 y 2018-08/10, que corresponden a la categoría Teconología</w:t>
      </w:r>
    </w:p>
    <w:p w:rsidR="00000000" w:rsidDel="00000000" w:rsidP="00000000" w:rsidRDefault="00000000" w:rsidRPr="00000000" w14:paraId="0000004F">
      <w:pPr>
        <w:numPr>
          <w:ilvl w:val="0"/>
          <w:numId w:val="1"/>
        </w:numPr>
        <w:spacing w:after="240" w:before="0" w:beforeAutospacing="0" w:lineRule="auto"/>
        <w:ind w:left="720" w:hanging="360"/>
        <w:rPr>
          <w:u w:val="none"/>
        </w:rPr>
      </w:pPr>
      <w:r w:rsidDel="00000000" w:rsidR="00000000" w:rsidRPr="00000000">
        <w:rPr>
          <w:rtl w:val="0"/>
        </w:rPr>
        <w:t xml:space="preserve">Valor atípico (mínimo) de ganancias para 2016-04</w:t>
      </w:r>
    </w:p>
    <w:p w:rsidR="00000000" w:rsidDel="00000000" w:rsidP="00000000" w:rsidRDefault="00000000" w:rsidRPr="00000000" w14:paraId="00000050">
      <w:pPr>
        <w:spacing w:after="240" w:before="240" w:lineRule="auto"/>
        <w:rPr/>
      </w:pPr>
      <w:r w:rsidDel="00000000" w:rsidR="00000000" w:rsidRPr="00000000">
        <w:rPr>
          <w:rtl w:val="0"/>
        </w:rPr>
        <w:t xml:space="preserve">Se infiere que, si bien la evolución de las ventas es hacia la suba, es necesario entender cómo funciona la política de descuentos y márgenes de ganancia, ya que estos últimos están afectando a la rentabilidad del negocio y del modelo de pronóstico esperado</w:t>
      </w:r>
    </w:p>
    <w:p w:rsidR="00000000" w:rsidDel="00000000" w:rsidP="00000000" w:rsidRDefault="00000000" w:rsidRPr="00000000" w14:paraId="00000051">
      <w:pPr>
        <w:spacing w:after="240" w:before="240" w:lineRule="auto"/>
        <w:ind w:left="720" w:hanging="720"/>
        <w:rPr/>
      </w:pPr>
      <w:r w:rsidDel="00000000" w:rsidR="00000000" w:rsidRPr="00000000">
        <w:rPr/>
        <w:drawing>
          <wp:inline distB="114300" distT="114300" distL="114300" distR="114300">
            <wp:extent cx="5731200" cy="27940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b w:val="1"/>
          <w:bCs w:val="1"/>
          <w:u w:val="single"/>
        </w:rPr>
        <w:drawing>
          <wp:inline distB="114300" distT="114300" distL="114300" distR="114300">
            <wp:extent cx="5731200" cy="2819400"/>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sectPr>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5.png"/><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7.png"/><Relationship Id="rId18"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