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br/>
        <w:br/>
        <w:br/>
        <w:t xml:space="preserve"/>
      </w:r>
    </w:p>
    <w:p>
      <w:pPr>
        <w:pBdr>
          <w:bottom w:val="single" w:color="1F3864" w:sz="12"/>
        </w:pBdr>
        <w:spacing w:after="160"/>
        <w:jc w:val="center"/>
      </w:pPr>
      <w:r>
        <w:rPr>
          <w:rFonts w:ascii="Calibri" w:cs="Calibri" w:eastAsia="Calibri" w:hAnsi="Calibri"/>
          <w:b/>
          <w:bCs/>
          <w:color w:val="1F3864"/>
          <w:sz w:val="48"/>
          <w:szCs w:val="48"/>
        </w:rPr>
        <w:t xml:space="preserve">Descripción del Conjunto de Datos</w:t>
      </w:r>
    </w:p>
    <w:p>
      <w:pPr>
        <w:spacing w:after="80"/>
        <w:jc w:val="center"/>
      </w:pPr>
      <w:r>
        <w:rPr>
          <w:rFonts w:ascii="Calibri" w:cs="Calibri" w:eastAsia="Calibri" w:hAnsi="Calibri"/>
          <w:b w:val="false"/>
          <w:bCs w:val="false"/>
          <w:color w:val="1F5C8B"/>
          <w:sz w:val="28"/>
          <w:szCs w:val="28"/>
        </w:rPr>
        <w:t xml:space="preserve">Sistema de Clasificación de Ocupación en Estaciones de TransMilenio</w:t>
      </w:r>
    </w:p>
    <w:p>
      <w:pPr>
        <w:spacing w:after="400"/>
        <w:jc w:val="center"/>
      </w:pPr>
      <w:r>
        <w:rPr>
          <w:rFonts w:ascii="Calibri" w:cs="Calibri" w:eastAsia="Calibri" w:hAnsi="Calibri"/>
          <w:i/>
          <w:iCs/>
          <w:color w:val="404040"/>
          <w:sz w:val="22"/>
          <w:szCs w:val="22"/>
        </w:rPr>
        <w:t xml:space="preserve">Proyecto de Aprendizaje Supervisado — Árbol de Decisión (ID3)</w:t>
      </w:r>
    </w:p>
    <w:p>
      <w:pPr>
        <w:spacing w:after="80"/>
        <w:jc w:val="center"/>
      </w:pPr>
      <w:r>
        <w:rPr>
          <w:color w:val="404040"/>
          <w:sz w:val="22"/>
          <w:szCs w:val="22"/>
        </w:rPr>
        <w:t xml:space="preserve">Fecha: Octubre 2026</w:t>
      </w:r>
    </w:p>
    <w:p>
      <w:pPr>
        <w:spacing w:after="80"/>
        <w:jc w:val="center"/>
      </w:pPr>
      <w:r>
        <w:rPr>
          <w:color w:val="404040"/>
          <w:sz w:val="22"/>
          <w:szCs w:val="22"/>
        </w:rPr>
        <w:t xml:space="preserve">Autor: Gabriela Páez</w:t>
      </w:r>
    </w:p>
    <w:p>
      <w:pPr>
        <w:spacing w:after="200"/>
        <w:jc w:val="center"/>
      </w:pPr>
      <w:r>
        <w:rPr>
          <w:color w:val="404040"/>
          <w:sz w:val="22"/>
          <w:szCs w:val="22"/>
        </w:rPr>
        <w:t xml:space="preserve">Organización: DataInnova</w:t>
      </w:r>
    </w:p>
    <w:p>
      <w:pPr>
        <w:pageBreakBefore/>
      </w:pPr>
      <w:r>
        <w:br/>
      </w:r>
    </w:p>
    <w:p>
      <w:pPr>
        <w:pStyle w:val="Heading1"/>
        <w:pBdr>
          <w:bottom w:val="single" w:color="1F3864" w:sz="6"/>
        </w:pBdr>
        <w:spacing w:after="120" w:before="300"/>
      </w:pPr>
      <w:r>
        <w:t xml:space="preserve">1. Descripción General del Proyecto</w:t>
      </w:r>
    </w:p>
    <w:p>
      <w:pPr>
        <w:spacing w:after="100"/>
        <w:jc w:val="both"/>
      </w:pPr>
      <w:r>
        <w:rPr>
          <w:color w:val="404040"/>
          <w:sz w:val="22"/>
          <w:szCs w:val="22"/>
        </w:rPr>
        <w:t xml:space="preserve">Este proyecto implementa un sistema de clasificación supervisada para predecir el nivel de ocupación de las estaciones del sistema de transporte masivo TransMilenio en Bogotá, Colombia. El modelo utiliza un Árbol de Decisión con criterio de entropía (equivalente al algoritmo ID3), entrenado con variables operacionales y contextuales de cada estación.</w:t>
      </w:r>
    </w:p>
    <w:p>
      <w:pPr>
        <w:spacing w:after="100"/>
        <w:jc w:val="both"/>
      </w:pPr>
      <w:r>
        <w:rPr>
          <w:color w:val="404040"/>
          <w:sz w:val="22"/>
          <w:szCs w:val="22"/>
        </w:rPr>
        <w:t xml:space="preserve">El objetivo es anticipar si una estación se encontrará en nivel Bajo, Medio, Alto o Crítico de ocupación durante un intervalo horario, a partir de características como la franja del día, el tipo de día, la lluvia y las características físicas de la estación.</w:t>
      </w:r>
    </w:p>
    <w:p>
      <w:pPr>
        <w:spacing w:after="60"/>
      </w:pPr>
    </w:p>
    <w:p>
      <w:pPr>
        <w:pStyle w:val="Heading1"/>
        <w:pBdr>
          <w:bottom w:val="single" w:color="1F3864" w:sz="6"/>
        </w:pBdr>
        <w:spacing w:after="120" w:before="300"/>
      </w:pPr>
      <w:r>
        <w:t xml:space="preserve">2. Origen y Naturaleza de los Datos</w:t>
      </w:r>
    </w:p>
    <w:p>
      <w:pPr>
        <w:pStyle w:val="Heading2"/>
        <w:spacing w:after="80" w:before="240"/>
      </w:pPr>
      <w:r>
        <w:t xml:space="preserve">2.1 Tipo de datos</w:t>
      </w:r>
    </w:p>
    <w:p>
      <w:pPr>
        <w:spacing w:after="100"/>
        <w:jc w:val="both"/>
      </w:pPr>
      <w:r>
        <w:rPr>
          <w:color w:val="404040"/>
          <w:sz w:val="22"/>
          <w:szCs w:val="22"/>
        </w:rPr>
        <w:t xml:space="preserve">El conjunto de datos es sintético, generado mediante simulación informada por el dominio. Se utilizó una semilla aleatoria fija (seed = 42) para garantizar la reproducibilidad. Los patrones de demanda reproducen comportamientos reales documentados del sistema TransMilenio:</w:t>
      </w:r>
    </w:p>
    <w:p>
      <w:pPr>
        <w:spacing w:after="40" w:before="60"/>
        <w:ind w:left="360"/>
      </w:pPr>
      <w:r>
        <w:rPr>
          <w:color w:val="404040"/>
          <w:sz w:val="22"/>
          <w:szCs w:val="22"/>
        </w:rPr>
        <w:t xml:space="preserve">•  Doble pico de demanda: 6:30 am y 5:45 pm (días laborales).</w:t>
      </w:r>
    </w:p>
    <w:p>
      <w:pPr>
        <w:spacing w:after="40" w:before="40"/>
        <w:ind w:left="360"/>
      </w:pPr>
      <w:r>
        <w:rPr>
          <w:color w:val="404040"/>
          <w:sz w:val="22"/>
          <w:szCs w:val="22"/>
        </w:rPr>
        <w:t xml:space="preserve">•  Reducción de demanda en fines de semana (55 % sábado, 38 % domingo/festivo).</w:t>
      </w:r>
    </w:p>
    <w:p>
      <w:pPr>
        <w:spacing w:after="40" w:before="40"/>
        <w:ind w:left="360"/>
      </w:pPr>
      <w:r>
        <w:rPr>
          <w:color w:val="404040"/>
          <w:sz w:val="22"/>
          <w:szCs w:val="22"/>
        </w:rPr>
        <w:t xml:space="preserve">•  Distribución de precipitación en horas de la tarde.</w:t>
      </w:r>
    </w:p>
    <w:p>
      <w:pPr>
        <w:spacing w:after="120" w:before="40"/>
        <w:ind w:left="360"/>
      </w:pPr>
      <w:r>
        <w:rPr>
          <w:color w:val="404040"/>
          <w:sz w:val="22"/>
          <w:szCs w:val="22"/>
        </w:rPr>
        <w:t xml:space="preserve">•  Multiplicadores de demanda por eventos masivos (El Campín, Movistar Arena) entre las 16:00 y 22:00.</w:t>
      </w:r>
    </w:p>
    <w:p>
      <w:pPr>
        <w:pStyle w:val="Heading2"/>
        <w:spacing w:after="80" w:before="240"/>
      </w:pPr>
      <w:r>
        <w:t xml:space="preserve">2.2 Fuentes de referencia</w:t>
      </w:r>
    </w:p>
    <w:p>
      <w:pPr>
        <w:spacing w:after="100"/>
        <w:jc w:val="both"/>
      </w:pPr>
      <w:r>
        <w:rPr>
          <w:color w:val="404040"/>
          <w:sz w:val="22"/>
          <w:szCs w:val="22"/>
        </w:rPr>
        <w:t xml:space="preserve">Aunque los datos son sintéticos, los parámetros de generación se basaron en las siguientes fuentes de datos reales del sistema TransMilenio y de la ciudad de Bogotá:</w:t>
      </w:r>
    </w:p>
    <w:p>
      <w:pPr>
        <w:spacing w:after="80"/>
      </w:pPr>
      <w:r>
        <w:rPr>
          <w:b/>
          <w:bCs/>
          <w:color w:val="000000"/>
          <w:sz w:val="22"/>
          <w:szCs w:val="22"/>
        </w:rPr>
        <w:t xml:space="preserve">Portal de Datos Abiertos TransMilenio: </w:t>
      </w:r>
      <w:r>
        <w:rPr>
          <w:color w:val="404040"/>
          <w:sz w:val="22"/>
          <w:szCs w:val="22"/>
        </w:rPr>
        <w:t xml:space="preserve">Validaciones por estación en intervalos de 15 minutos</w:t>
      </w:r>
    </w:p>
    <w:p>
      <w:pPr>
        <w:spacing w:after="80"/>
      </w:pPr>
      <w:r>
        <w:rPr>
          <w:b/>
          <w:bCs/>
          <w:color w:val="000000"/>
          <w:sz w:val="22"/>
          <w:szCs w:val="22"/>
        </w:rPr>
        <w:t xml:space="preserve">Datos Abiertos Bogotá: </w:t>
      </w:r>
      <w:r>
        <w:rPr>
          <w:color w:val="404040"/>
          <w:sz w:val="22"/>
          <w:szCs w:val="22"/>
        </w:rPr>
        <w:t xml:space="preserve">Indicadores de movilidad y uso del sistema SITP</w:t>
      </w:r>
    </w:p>
    <w:p>
      <w:pPr>
        <w:spacing w:after="80"/>
      </w:pPr>
      <w:r>
        <w:rPr>
          <w:b/>
          <w:bCs/>
          <w:color w:val="000000"/>
          <w:sz w:val="22"/>
          <w:szCs w:val="22"/>
        </w:rPr>
        <w:t xml:space="preserve">IDEAM: </w:t>
      </w:r>
      <w:r>
        <w:rPr>
          <w:color w:val="404040"/>
          <w:sz w:val="22"/>
          <w:szCs w:val="22"/>
        </w:rPr>
        <w:t xml:space="preserve">Datos históricos de precipitación para el área metropolitana de Bogotá</w:t>
      </w:r>
    </w:p>
    <w:p>
      <w:pPr>
        <w:spacing w:after="80"/>
      </w:pPr>
      <w:r>
        <w:rPr>
          <w:b/>
          <w:bCs/>
          <w:color w:val="000000"/>
          <w:sz w:val="22"/>
          <w:szCs w:val="22"/>
        </w:rPr>
        <w:t xml:space="preserve">SIMUR: </w:t>
      </w:r>
      <w:r>
        <w:rPr>
          <w:color w:val="404040"/>
          <w:sz w:val="22"/>
          <w:szCs w:val="22"/>
        </w:rPr>
        <w:t xml:space="preserve">Encuesta de movilidad urbana de Bogotá</w:t>
      </w:r>
    </w:p>
    <w:p>
      <w:pPr>
        <w:spacing w:after="60"/>
      </w:pPr>
    </w:p>
    <w:p>
      <w:pPr>
        <w:pStyle w:val="Heading1"/>
        <w:pBdr>
          <w:bottom w:val="single" w:color="1F3864" w:sz="6"/>
        </w:pBdr>
        <w:spacing w:after="120" w:before="300"/>
      </w:pPr>
      <w:r>
        <w:t xml:space="preserve">3. Archivos del Conjunto de Datos</w:t>
      </w:r>
    </w:p>
    <w:p>
      <w:pPr>
        <w:pStyle w:val="Heading2"/>
        <w:spacing w:after="80" w:before="240"/>
      </w:pPr>
      <w:r>
        <w:t xml:space="preserve">3.1 dataset_transporte.csv — Conjunto de datos principal</w:t>
      </w:r>
    </w:p>
    <w:p>
      <w:pPr>
        <w:spacing w:after="80"/>
      </w:pPr>
      <w:r>
        <w:rPr>
          <w:b/>
          <w:bCs/>
          <w:color w:val="000000"/>
          <w:sz w:val="22"/>
          <w:szCs w:val="22"/>
        </w:rPr>
        <w:t xml:space="preserve">Ruta: </w:t>
      </w:r>
      <w:r>
        <w:rPr>
          <w:color w:val="404040"/>
          <w:sz w:val="22"/>
          <w:szCs w:val="22"/>
        </w:rPr>
        <w:t xml:space="preserve">data/dataset_transporte.csv</w:t>
      </w:r>
    </w:p>
    <w:p>
      <w:pPr>
        <w:spacing w:after="80"/>
      </w:pPr>
      <w:r>
        <w:rPr>
          <w:b/>
          <w:bCs/>
          <w:color w:val="000000"/>
          <w:sz w:val="22"/>
          <w:szCs w:val="22"/>
        </w:rPr>
        <w:t xml:space="preserve">Registros: </w:t>
      </w:r>
      <w:r>
        <w:rPr>
          <w:color w:val="404040"/>
          <w:sz w:val="22"/>
          <w:szCs w:val="22"/>
        </w:rPr>
        <w:t xml:space="preserve">240 (combinaciones de estación × franja horaria)</w:t>
      </w:r>
    </w:p>
    <w:p>
      <w:pPr>
        <w:spacing w:after="80"/>
      </w:pPr>
      <w:r>
        <w:rPr>
          <w:b/>
          <w:bCs/>
          <w:color w:val="000000"/>
          <w:sz w:val="22"/>
          <w:szCs w:val="22"/>
        </w:rPr>
        <w:t xml:space="preserve">Columnas: </w:t>
      </w:r>
      <w:r>
        <w:rPr>
          <w:color w:val="404040"/>
          <w:sz w:val="22"/>
          <w:szCs w:val="22"/>
        </w:rPr>
        <w:t xml:space="preserve">7</w:t>
      </w:r>
    </w:p>
    <w:p>
      <w:pPr>
        <w:spacing w:after="80"/>
      </w:pPr>
      <w:r>
        <w:rPr>
          <w:b/>
          <w:bCs/>
          <w:color w:val="000000"/>
          <w:sz w:val="22"/>
          <w:szCs w:val="22"/>
        </w:rPr>
        <w:t xml:space="preserve">Codificación: </w:t>
      </w:r>
      <w:r>
        <w:rPr>
          <w:color w:val="404040"/>
          <w:sz w:val="22"/>
          <w:szCs w:val="22"/>
        </w:rPr>
        <w:t xml:space="preserve">UTF-8</w:t>
      </w:r>
    </w:p>
    <w:p>
      <w:pPr>
        <w:spacing w:after="80"/>
      </w:pPr>
      <w:r>
        <w:rPr>
          <w:b/>
          <w:bCs/>
          <w:color w:val="000000"/>
          <w:sz w:val="22"/>
          <w:szCs w:val="22"/>
        </w:rPr>
        <w:t xml:space="preserve">Separador: </w:t>
      </w:r>
      <w:r>
        <w:rPr>
          <w:color w:val="404040"/>
          <w:sz w:val="22"/>
          <w:szCs w:val="22"/>
        </w:rPr>
        <w:t xml:space="preserve">Coma (,)</w:t>
      </w:r>
    </w:p>
    <w:p>
      <w:pPr>
        <w:spacing w:after="60"/>
      </w:pPr>
    </w:p>
    <w:p>
      <w:pPr>
        <w:spacing w:after="100"/>
        <w:jc w:val="both"/>
      </w:pPr>
      <w:r>
        <w:rPr>
          <w:color w:val="404040"/>
          <w:sz w:val="22"/>
          <w:szCs w:val="22"/>
        </w:rPr>
        <w:t xml:space="preserve">Este archivo es el conjunto de datos de entrenamiento y evaluación del modelo. Cada fila representa una observación de una estación en una franja horaria determinada, con las variables predictoras y la etiqueta de nivel de ocupación.</w:t>
      </w:r>
    </w:p>
    <w:p>
      <w:pPr>
        <w:spacing w:after="60"/>
      </w:pPr>
    </w:p>
    <w:tbl>
      <w:tblPr>
        <w:tblW w:type="dxa" w:w="8300"/>
        <w:tblBorders>
          <w:top w:val="single" w:color="AAAAAA" w:sz="4"/>
          <w:left w:val="single" w:color="AAAAAA" w:sz="4"/>
          <w:bottom w:val="single" w:color="AAAAAA" w:sz="4"/>
          <w:right w:val="single" w:color="AAAAAA" w:sz="4"/>
          <w:insideH w:val="single" w:color="CCCCCC" w:sz="4"/>
          <w:insideV w:val="single" w:color="CCCCCC" w:sz="4"/>
        </w:tblBorders>
      </w:tblPr>
      <w:tblGrid>
        <w:gridCol w:w="1500"/>
        <w:gridCol w:w="1000"/>
        <w:gridCol w:w="2000"/>
        <w:gridCol w:w="2800"/>
        <w:gridCol w:w="1000"/>
      </w:tblGrid>
      <w:tr>
        <w:trPr>
          <w:tblHeader/>
        </w:trPr>
        <w:tc>
          <w:tcPr>
            <w:tcW w:type="dxa" w:w="1500"/>
            <w:shd w:fill="1F3864" w:color="auto" w:val="clear"/>
            <w:tcMar>
              <w:top w:type="dxa" w:w="60"/>
              <w:left w:type="dxa" w:w="80"/>
              <w:bottom w:type="dxa" w:w="60"/>
              <w:right w:type="dxa" w:w="80"/>
            </w:tcMar>
            <w:vAlign w:val="center"/>
          </w:tcPr>
          <w:p>
            <w:pPr>
              <w:spacing w:after="60" w:before="60"/>
              <w:jc w:val="center"/>
            </w:pPr>
            <w:r>
              <w:rPr>
                <w:b/>
                <w:bCs/>
                <w:color w:val="FFFFFF"/>
                <w:sz w:val="20"/>
                <w:szCs w:val="20"/>
              </w:rPr>
              <w:t xml:space="preserve">Campo</w:t>
            </w:r>
          </w:p>
        </w:tc>
        <w:tc>
          <w:tcPr>
            <w:tcW w:type="dxa" w:w="1000"/>
            <w:shd w:fill="1F3864" w:color="auto" w:val="clear"/>
            <w:tcMar>
              <w:top w:type="dxa" w:w="60"/>
              <w:left w:type="dxa" w:w="80"/>
              <w:bottom w:type="dxa" w:w="60"/>
              <w:right w:type="dxa" w:w="80"/>
            </w:tcMar>
            <w:vAlign w:val="center"/>
          </w:tcPr>
          <w:p>
            <w:pPr>
              <w:spacing w:after="60" w:before="60"/>
              <w:jc w:val="center"/>
            </w:pPr>
            <w:r>
              <w:rPr>
                <w:b/>
                <w:bCs/>
                <w:color w:val="FFFFFF"/>
                <w:sz w:val="20"/>
                <w:szCs w:val="20"/>
              </w:rPr>
              <w:t xml:space="preserve">Tipo</w:t>
            </w:r>
          </w:p>
        </w:tc>
        <w:tc>
          <w:tcPr>
            <w:tcW w:type="dxa" w:w="2000"/>
            <w:shd w:fill="1F3864" w:color="auto" w:val="clear"/>
            <w:tcMar>
              <w:top w:type="dxa" w:w="60"/>
              <w:left w:type="dxa" w:w="80"/>
              <w:bottom w:type="dxa" w:w="60"/>
              <w:right w:type="dxa" w:w="80"/>
            </w:tcMar>
            <w:vAlign w:val="center"/>
          </w:tcPr>
          <w:p>
            <w:pPr>
              <w:spacing w:after="60" w:before="60"/>
              <w:jc w:val="center"/>
            </w:pPr>
            <w:r>
              <w:rPr>
                <w:b/>
                <w:bCs/>
                <w:color w:val="FFFFFF"/>
                <w:sz w:val="20"/>
                <w:szCs w:val="20"/>
              </w:rPr>
              <w:t xml:space="preserve">Valores</w:t>
            </w:r>
          </w:p>
        </w:tc>
        <w:tc>
          <w:tcPr>
            <w:tcW w:type="dxa" w:w="2800"/>
            <w:shd w:fill="1F3864" w:color="auto" w:val="clear"/>
            <w:tcMar>
              <w:top w:type="dxa" w:w="60"/>
              <w:left w:type="dxa" w:w="80"/>
              <w:bottom w:type="dxa" w:w="60"/>
              <w:right w:type="dxa" w:w="80"/>
            </w:tcMar>
            <w:vAlign w:val="center"/>
          </w:tcPr>
          <w:p>
            <w:pPr>
              <w:spacing w:after="60" w:before="60"/>
              <w:jc w:val="center"/>
            </w:pPr>
            <w:r>
              <w:rPr>
                <w:b/>
                <w:bCs/>
                <w:color w:val="FFFFFF"/>
                <w:sz w:val="20"/>
                <w:szCs w:val="20"/>
              </w:rPr>
              <w:t xml:space="preserve">Descripción</w:t>
            </w:r>
          </w:p>
        </w:tc>
        <w:tc>
          <w:tcPr>
            <w:tcW w:type="dxa" w:w="1000"/>
            <w:shd w:fill="1F3864" w:color="auto" w:val="clear"/>
            <w:tcMar>
              <w:top w:type="dxa" w:w="60"/>
              <w:left w:type="dxa" w:w="80"/>
              <w:bottom w:type="dxa" w:w="60"/>
              <w:right w:type="dxa" w:w="80"/>
            </w:tcMar>
            <w:vAlign w:val="center"/>
          </w:tcPr>
          <w:p>
            <w:pPr>
              <w:spacing w:after="60" w:before="60"/>
              <w:jc w:val="center"/>
            </w:pPr>
            <w:r>
              <w:rPr>
                <w:b/>
                <w:bCs/>
                <w:color w:val="FFFFFF"/>
                <w:sz w:val="20"/>
                <w:szCs w:val="20"/>
              </w:rPr>
              <w:t xml:space="preserve">Rol</w:t>
            </w:r>
          </w:p>
        </w:tc>
      </w:tr>
      <w:tr>
        <w:tc>
          <w:tcPr>
            <w:tcW w:type="dxa" w:w="1500"/>
            <w:shd w:fill="FFFFFF" w:color="auto" w:val="clear"/>
            <w:tcMar>
              <w:top w:type="dxa" w:w="40"/>
              <w:left w:type="dxa" w:w="80"/>
              <w:bottom w:type="dxa" w:w="40"/>
              <w:right w:type="dxa" w:w="80"/>
            </w:tcMar>
            <w:vAlign w:val="center"/>
          </w:tcPr>
          <w:p>
            <w:pPr>
              <w:spacing w:after="40" w:before="40"/>
              <w:jc w:val="left"/>
            </w:pPr>
            <w:r>
              <w:rPr>
                <w:color w:val="404040"/>
                <w:sz w:val="20"/>
                <w:szCs w:val="20"/>
              </w:rPr>
              <w:t xml:space="preserve">estacion</w:t>
            </w:r>
          </w:p>
        </w:tc>
        <w:tc>
          <w:tcPr>
            <w:tcW w:type="dxa" w:w="1000"/>
            <w:shd w:fill="FFFFFF" w:color="auto" w:val="clear"/>
            <w:tcMar>
              <w:top w:type="dxa" w:w="40"/>
              <w:left w:type="dxa" w:w="80"/>
              <w:bottom w:type="dxa" w:w="40"/>
              <w:right w:type="dxa" w:w="80"/>
            </w:tcMar>
            <w:vAlign w:val="center"/>
          </w:tcPr>
          <w:p>
            <w:pPr>
              <w:spacing w:after="40" w:before="40"/>
              <w:jc w:val="center"/>
            </w:pPr>
            <w:r>
              <w:rPr>
                <w:color w:val="404040"/>
                <w:sz w:val="20"/>
                <w:szCs w:val="20"/>
              </w:rPr>
              <w:t xml:space="preserve">Categórico</w:t>
            </w:r>
          </w:p>
        </w:tc>
        <w:tc>
          <w:tcPr>
            <w:tcW w:type="dxa" w:w="2000"/>
            <w:shd w:fill="FFFFFF" w:color="auto" w:val="clear"/>
            <w:tcMar>
              <w:top w:type="dxa" w:w="40"/>
              <w:left w:type="dxa" w:w="80"/>
              <w:bottom w:type="dxa" w:w="40"/>
              <w:right w:type="dxa" w:w="80"/>
            </w:tcMar>
            <w:vAlign w:val="center"/>
          </w:tcPr>
          <w:p>
            <w:pPr>
              <w:spacing w:after="40" w:before="40"/>
              <w:jc w:val="left"/>
            </w:pPr>
            <w:r>
              <w:rPr>
                <w:color w:val="404040"/>
                <w:sz w:val="20"/>
                <w:szCs w:val="20"/>
              </w:rPr>
              <w:t xml:space="preserve">30 estaciones</w:t>
            </w:r>
          </w:p>
        </w:tc>
        <w:tc>
          <w:tcPr>
            <w:tcW w:type="dxa" w:w="2800"/>
            <w:shd w:fill="FFFFFF" w:color="auto" w:val="clear"/>
            <w:tcMar>
              <w:top w:type="dxa" w:w="40"/>
              <w:left w:type="dxa" w:w="80"/>
              <w:bottom w:type="dxa" w:w="40"/>
              <w:right w:type="dxa" w:w="80"/>
            </w:tcMar>
            <w:vAlign w:val="center"/>
          </w:tcPr>
          <w:p>
            <w:pPr>
              <w:spacing w:after="40" w:before="40"/>
              <w:jc w:val="left"/>
            </w:pPr>
            <w:r>
              <w:rPr>
                <w:color w:val="404040"/>
                <w:sz w:val="20"/>
                <w:szCs w:val="20"/>
              </w:rPr>
              <w:t xml:space="preserve">Nombre de la estación de TransMilenio</w:t>
            </w:r>
          </w:p>
        </w:tc>
        <w:tc>
          <w:tcPr>
            <w:tcW w:type="dxa" w:w="1000"/>
            <w:shd w:fill="FFFFFF" w:color="auto" w:val="clear"/>
            <w:tcMar>
              <w:top w:type="dxa" w:w="40"/>
              <w:left w:type="dxa" w:w="80"/>
              <w:bottom w:type="dxa" w:w="40"/>
              <w:right w:type="dxa" w:w="80"/>
            </w:tcMar>
            <w:vAlign w:val="center"/>
          </w:tcPr>
          <w:p>
            <w:pPr>
              <w:spacing w:after="40" w:before="40"/>
              <w:jc w:val="center"/>
            </w:pPr>
            <w:r>
              <w:rPr>
                <w:color w:val="404040"/>
                <w:sz w:val="20"/>
                <w:szCs w:val="20"/>
              </w:rPr>
              <w:t xml:space="preserve">Predictora</w:t>
            </w:r>
          </w:p>
        </w:tc>
      </w:tr>
      <w:tr>
        <w:tc>
          <w:tcPr>
            <w:tcW w:type="dxa" w:w="1500"/>
            <w:shd w:fill="D9E1F2" w:color="auto" w:val="clear"/>
            <w:tcMar>
              <w:top w:type="dxa" w:w="40"/>
              <w:left w:type="dxa" w:w="80"/>
              <w:bottom w:type="dxa" w:w="40"/>
              <w:right w:type="dxa" w:w="80"/>
            </w:tcMar>
            <w:vAlign w:val="center"/>
          </w:tcPr>
          <w:p>
            <w:pPr>
              <w:spacing w:after="40" w:before="40"/>
              <w:jc w:val="left"/>
            </w:pPr>
            <w:r>
              <w:rPr>
                <w:color w:val="404040"/>
                <w:sz w:val="20"/>
                <w:szCs w:val="20"/>
              </w:rPr>
              <w:t xml:space="preserve">tipo_estacion</w:t>
            </w:r>
          </w:p>
        </w:tc>
        <w:tc>
          <w:tcPr>
            <w:tcW w:type="dxa" w:w="1000"/>
            <w:shd w:fill="D9E1F2" w:color="auto" w:val="clear"/>
            <w:tcMar>
              <w:top w:type="dxa" w:w="40"/>
              <w:left w:type="dxa" w:w="80"/>
              <w:bottom w:type="dxa" w:w="40"/>
              <w:right w:type="dxa" w:w="80"/>
            </w:tcMar>
            <w:vAlign w:val="center"/>
          </w:tcPr>
          <w:p>
            <w:pPr>
              <w:spacing w:after="40" w:before="40"/>
              <w:jc w:val="center"/>
            </w:pPr>
            <w:r>
              <w:rPr>
                <w:color w:val="404040"/>
                <w:sz w:val="20"/>
                <w:szCs w:val="20"/>
              </w:rPr>
              <w:t xml:space="preserve">Categórico</w:t>
            </w:r>
          </w:p>
        </w:tc>
        <w:tc>
          <w:tcPr>
            <w:tcW w:type="dxa" w:w="2000"/>
            <w:shd w:fill="D9E1F2" w:color="auto" w:val="clear"/>
            <w:tcMar>
              <w:top w:type="dxa" w:w="40"/>
              <w:left w:type="dxa" w:w="80"/>
              <w:bottom w:type="dxa" w:w="40"/>
              <w:right w:type="dxa" w:w="80"/>
            </w:tcMar>
            <w:vAlign w:val="center"/>
          </w:tcPr>
          <w:p>
            <w:pPr>
              <w:spacing w:after="40" w:before="40"/>
              <w:jc w:val="left"/>
            </w:pPr>
            <w:r>
              <w:rPr>
                <w:color w:val="404040"/>
                <w:sz w:val="20"/>
                <w:szCs w:val="20"/>
              </w:rPr>
              <w:t xml:space="preserve">Portal, Intermedia, Sencilla</w:t>
            </w:r>
          </w:p>
        </w:tc>
        <w:tc>
          <w:tcPr>
            <w:tcW w:type="dxa" w:w="2800"/>
            <w:shd w:fill="D9E1F2" w:color="auto" w:val="clear"/>
            <w:tcMar>
              <w:top w:type="dxa" w:w="40"/>
              <w:left w:type="dxa" w:w="80"/>
              <w:bottom w:type="dxa" w:w="40"/>
              <w:right w:type="dxa" w:w="80"/>
            </w:tcMar>
            <w:vAlign w:val="center"/>
          </w:tcPr>
          <w:p>
            <w:pPr>
              <w:spacing w:after="40" w:before="40"/>
              <w:jc w:val="left"/>
            </w:pPr>
            <w:r>
              <w:rPr>
                <w:color w:val="404040"/>
                <w:sz w:val="20"/>
                <w:szCs w:val="20"/>
              </w:rPr>
              <w:t xml:space="preserve">Clasificación física/funcional de la estación</w:t>
            </w:r>
          </w:p>
        </w:tc>
        <w:tc>
          <w:tcPr>
            <w:tcW w:type="dxa" w:w="1000"/>
            <w:shd w:fill="D9E1F2" w:color="auto" w:val="clear"/>
            <w:tcMar>
              <w:top w:type="dxa" w:w="40"/>
              <w:left w:type="dxa" w:w="80"/>
              <w:bottom w:type="dxa" w:w="40"/>
              <w:right w:type="dxa" w:w="80"/>
            </w:tcMar>
            <w:vAlign w:val="center"/>
          </w:tcPr>
          <w:p>
            <w:pPr>
              <w:spacing w:after="40" w:before="40"/>
              <w:jc w:val="center"/>
            </w:pPr>
            <w:r>
              <w:rPr>
                <w:color w:val="404040"/>
                <w:sz w:val="20"/>
                <w:szCs w:val="20"/>
              </w:rPr>
              <w:t xml:space="preserve">Predictora</w:t>
            </w:r>
          </w:p>
        </w:tc>
      </w:tr>
      <w:tr>
        <w:tc>
          <w:tcPr>
            <w:tcW w:type="dxa" w:w="1500"/>
            <w:shd w:fill="FFFFFF" w:color="auto" w:val="clear"/>
            <w:tcMar>
              <w:top w:type="dxa" w:w="40"/>
              <w:left w:type="dxa" w:w="80"/>
              <w:bottom w:type="dxa" w:w="40"/>
              <w:right w:type="dxa" w:w="80"/>
            </w:tcMar>
            <w:vAlign w:val="center"/>
          </w:tcPr>
          <w:p>
            <w:pPr>
              <w:spacing w:after="40" w:before="40"/>
              <w:jc w:val="left"/>
            </w:pPr>
            <w:r>
              <w:rPr>
                <w:color w:val="404040"/>
                <w:sz w:val="20"/>
                <w:szCs w:val="20"/>
              </w:rPr>
              <w:t xml:space="preserve">zona</w:t>
            </w:r>
          </w:p>
        </w:tc>
        <w:tc>
          <w:tcPr>
            <w:tcW w:type="dxa" w:w="1000"/>
            <w:shd w:fill="FFFFFF" w:color="auto" w:val="clear"/>
            <w:tcMar>
              <w:top w:type="dxa" w:w="40"/>
              <w:left w:type="dxa" w:w="80"/>
              <w:bottom w:type="dxa" w:w="40"/>
              <w:right w:type="dxa" w:w="80"/>
            </w:tcMar>
            <w:vAlign w:val="center"/>
          </w:tcPr>
          <w:p>
            <w:pPr>
              <w:spacing w:after="40" w:before="40"/>
              <w:jc w:val="center"/>
            </w:pPr>
            <w:r>
              <w:rPr>
                <w:color w:val="404040"/>
                <w:sz w:val="20"/>
                <w:szCs w:val="20"/>
              </w:rPr>
              <w:t xml:space="preserve">Categórico</w:t>
            </w:r>
          </w:p>
        </w:tc>
        <w:tc>
          <w:tcPr>
            <w:tcW w:type="dxa" w:w="2000"/>
            <w:shd w:fill="FFFFFF" w:color="auto" w:val="clear"/>
            <w:tcMar>
              <w:top w:type="dxa" w:w="40"/>
              <w:left w:type="dxa" w:w="80"/>
              <w:bottom w:type="dxa" w:w="40"/>
              <w:right w:type="dxa" w:w="80"/>
            </w:tcMar>
            <w:vAlign w:val="center"/>
          </w:tcPr>
          <w:p>
            <w:pPr>
              <w:spacing w:after="40" w:before="40"/>
              <w:jc w:val="left"/>
            </w:pPr>
            <w:r>
              <w:rPr>
                <w:color w:val="404040"/>
                <w:sz w:val="20"/>
                <w:szCs w:val="20"/>
              </w:rPr>
              <w:t xml:space="preserve">Periferia, Corredor, Centro</w:t>
            </w:r>
          </w:p>
        </w:tc>
        <w:tc>
          <w:tcPr>
            <w:tcW w:type="dxa" w:w="2800"/>
            <w:shd w:fill="FFFFFF" w:color="auto" w:val="clear"/>
            <w:tcMar>
              <w:top w:type="dxa" w:w="40"/>
              <w:left w:type="dxa" w:w="80"/>
              <w:bottom w:type="dxa" w:w="40"/>
              <w:right w:type="dxa" w:w="80"/>
            </w:tcMar>
            <w:vAlign w:val="center"/>
          </w:tcPr>
          <w:p>
            <w:pPr>
              <w:spacing w:after="40" w:before="40"/>
              <w:jc w:val="left"/>
            </w:pPr>
            <w:r>
              <w:rPr>
                <w:color w:val="404040"/>
                <w:sz w:val="20"/>
                <w:szCs w:val="20"/>
              </w:rPr>
              <w:t xml:space="preserve">Ubicación funcional de la estación dentro de la ciudad</w:t>
            </w:r>
          </w:p>
        </w:tc>
        <w:tc>
          <w:tcPr>
            <w:tcW w:type="dxa" w:w="1000"/>
            <w:shd w:fill="FFFFFF" w:color="auto" w:val="clear"/>
            <w:tcMar>
              <w:top w:type="dxa" w:w="40"/>
              <w:left w:type="dxa" w:w="80"/>
              <w:bottom w:type="dxa" w:w="40"/>
              <w:right w:type="dxa" w:w="80"/>
            </w:tcMar>
            <w:vAlign w:val="center"/>
          </w:tcPr>
          <w:p>
            <w:pPr>
              <w:spacing w:after="40" w:before="40"/>
              <w:jc w:val="center"/>
            </w:pPr>
            <w:r>
              <w:rPr>
                <w:color w:val="404040"/>
                <w:sz w:val="20"/>
                <w:szCs w:val="20"/>
              </w:rPr>
              <w:t xml:space="preserve">Predictora</w:t>
            </w:r>
          </w:p>
        </w:tc>
      </w:tr>
      <w:tr>
        <w:tc>
          <w:tcPr>
            <w:tcW w:type="dxa" w:w="1500"/>
            <w:shd w:fill="D9E1F2" w:color="auto" w:val="clear"/>
            <w:tcMar>
              <w:top w:type="dxa" w:w="40"/>
              <w:left w:type="dxa" w:w="80"/>
              <w:bottom w:type="dxa" w:w="40"/>
              <w:right w:type="dxa" w:w="80"/>
            </w:tcMar>
            <w:vAlign w:val="center"/>
          </w:tcPr>
          <w:p>
            <w:pPr>
              <w:spacing w:after="40" w:before="40"/>
              <w:jc w:val="left"/>
            </w:pPr>
            <w:r>
              <w:rPr>
                <w:color w:val="404040"/>
                <w:sz w:val="20"/>
                <w:szCs w:val="20"/>
              </w:rPr>
              <w:t xml:space="preserve">franja</w:t>
            </w:r>
          </w:p>
        </w:tc>
        <w:tc>
          <w:tcPr>
            <w:tcW w:type="dxa" w:w="1000"/>
            <w:shd w:fill="D9E1F2" w:color="auto" w:val="clear"/>
            <w:tcMar>
              <w:top w:type="dxa" w:w="40"/>
              <w:left w:type="dxa" w:w="80"/>
              <w:bottom w:type="dxa" w:w="40"/>
              <w:right w:type="dxa" w:w="80"/>
            </w:tcMar>
            <w:vAlign w:val="center"/>
          </w:tcPr>
          <w:p>
            <w:pPr>
              <w:spacing w:after="40" w:before="40"/>
              <w:jc w:val="center"/>
            </w:pPr>
            <w:r>
              <w:rPr>
                <w:color w:val="404040"/>
                <w:sz w:val="20"/>
                <w:szCs w:val="20"/>
              </w:rPr>
              <w:t xml:space="preserve">Categórico</w:t>
            </w:r>
          </w:p>
        </w:tc>
        <w:tc>
          <w:tcPr>
            <w:tcW w:type="dxa" w:w="2000"/>
            <w:shd w:fill="D9E1F2" w:color="auto" w:val="clear"/>
            <w:tcMar>
              <w:top w:type="dxa" w:w="40"/>
              <w:left w:type="dxa" w:w="80"/>
              <w:bottom w:type="dxa" w:w="40"/>
              <w:right w:type="dxa" w:w="80"/>
            </w:tcMar>
            <w:vAlign w:val="center"/>
          </w:tcPr>
          <w:p>
            <w:pPr>
              <w:spacing w:after="40" w:before="40"/>
              <w:jc w:val="left"/>
            </w:pPr>
            <w:r>
              <w:rPr>
                <w:color w:val="404040"/>
                <w:sz w:val="20"/>
                <w:szCs w:val="20"/>
              </w:rPr>
              <w:t xml:space="preserve">Madrugada, Pico AM,
Valle, Pico PM, Nocturna</w:t>
            </w:r>
          </w:p>
        </w:tc>
        <w:tc>
          <w:tcPr>
            <w:tcW w:type="dxa" w:w="2800"/>
            <w:shd w:fill="D9E1F2" w:color="auto" w:val="clear"/>
            <w:tcMar>
              <w:top w:type="dxa" w:w="40"/>
              <w:left w:type="dxa" w:w="80"/>
              <w:bottom w:type="dxa" w:w="40"/>
              <w:right w:type="dxa" w:w="80"/>
            </w:tcMar>
            <w:vAlign w:val="center"/>
          </w:tcPr>
          <w:p>
            <w:pPr>
              <w:spacing w:after="40" w:before="40"/>
              <w:jc w:val="left"/>
            </w:pPr>
            <w:r>
              <w:rPr>
                <w:color w:val="404040"/>
                <w:sz w:val="20"/>
                <w:szCs w:val="20"/>
              </w:rPr>
              <w:t xml:space="preserve">Franja horaria operacional agrupada</w:t>
            </w:r>
          </w:p>
        </w:tc>
        <w:tc>
          <w:tcPr>
            <w:tcW w:type="dxa" w:w="1000"/>
            <w:shd w:fill="D9E1F2" w:color="auto" w:val="clear"/>
            <w:tcMar>
              <w:top w:type="dxa" w:w="40"/>
              <w:left w:type="dxa" w:w="80"/>
              <w:bottom w:type="dxa" w:w="40"/>
              <w:right w:type="dxa" w:w="80"/>
            </w:tcMar>
            <w:vAlign w:val="center"/>
          </w:tcPr>
          <w:p>
            <w:pPr>
              <w:spacing w:after="40" w:before="40"/>
              <w:jc w:val="center"/>
            </w:pPr>
            <w:r>
              <w:rPr>
                <w:color w:val="404040"/>
                <w:sz w:val="20"/>
                <w:szCs w:val="20"/>
              </w:rPr>
              <w:t xml:space="preserve">Predictora</w:t>
            </w:r>
          </w:p>
        </w:tc>
      </w:tr>
      <w:tr>
        <w:tc>
          <w:tcPr>
            <w:tcW w:type="dxa" w:w="1500"/>
            <w:shd w:fill="FFFFFF" w:color="auto" w:val="clear"/>
            <w:tcMar>
              <w:top w:type="dxa" w:w="40"/>
              <w:left w:type="dxa" w:w="80"/>
              <w:bottom w:type="dxa" w:w="40"/>
              <w:right w:type="dxa" w:w="80"/>
            </w:tcMar>
            <w:vAlign w:val="center"/>
          </w:tcPr>
          <w:p>
            <w:pPr>
              <w:spacing w:after="40" w:before="40"/>
              <w:jc w:val="left"/>
            </w:pPr>
            <w:r>
              <w:rPr>
                <w:color w:val="404040"/>
                <w:sz w:val="20"/>
                <w:szCs w:val="20"/>
              </w:rPr>
              <w:t xml:space="preserve">tipo_dia</w:t>
            </w:r>
          </w:p>
        </w:tc>
        <w:tc>
          <w:tcPr>
            <w:tcW w:type="dxa" w:w="1000"/>
            <w:shd w:fill="FFFFFF" w:color="auto" w:val="clear"/>
            <w:tcMar>
              <w:top w:type="dxa" w:w="40"/>
              <w:left w:type="dxa" w:w="80"/>
              <w:bottom w:type="dxa" w:w="40"/>
              <w:right w:type="dxa" w:w="80"/>
            </w:tcMar>
            <w:vAlign w:val="center"/>
          </w:tcPr>
          <w:p>
            <w:pPr>
              <w:spacing w:after="40" w:before="40"/>
              <w:jc w:val="center"/>
            </w:pPr>
            <w:r>
              <w:rPr>
                <w:color w:val="404040"/>
                <w:sz w:val="20"/>
                <w:szCs w:val="20"/>
              </w:rPr>
              <w:t xml:space="preserve">Categórico</w:t>
            </w:r>
          </w:p>
        </w:tc>
        <w:tc>
          <w:tcPr>
            <w:tcW w:type="dxa" w:w="2000"/>
            <w:shd w:fill="FFFFFF" w:color="auto" w:val="clear"/>
            <w:tcMar>
              <w:top w:type="dxa" w:w="40"/>
              <w:left w:type="dxa" w:w="80"/>
              <w:bottom w:type="dxa" w:w="40"/>
              <w:right w:type="dxa" w:w="80"/>
            </w:tcMar>
            <w:vAlign w:val="center"/>
          </w:tcPr>
          <w:p>
            <w:pPr>
              <w:spacing w:after="40" w:before="40"/>
              <w:jc w:val="left"/>
            </w:pPr>
            <w:r>
              <w:rPr>
                <w:color w:val="404040"/>
                <w:sz w:val="20"/>
                <w:szCs w:val="20"/>
              </w:rPr>
              <w:t xml:space="preserve">Laboral, Fin de semana</w:t>
            </w:r>
          </w:p>
        </w:tc>
        <w:tc>
          <w:tcPr>
            <w:tcW w:type="dxa" w:w="2800"/>
            <w:shd w:fill="FFFFFF" w:color="auto" w:val="clear"/>
            <w:tcMar>
              <w:top w:type="dxa" w:w="40"/>
              <w:left w:type="dxa" w:w="80"/>
              <w:bottom w:type="dxa" w:w="40"/>
              <w:right w:type="dxa" w:w="80"/>
            </w:tcMar>
            <w:vAlign w:val="center"/>
          </w:tcPr>
          <w:p>
            <w:pPr>
              <w:spacing w:after="40" w:before="40"/>
              <w:jc w:val="left"/>
            </w:pPr>
            <w:r>
              <w:rPr>
                <w:color w:val="404040"/>
                <w:sz w:val="20"/>
                <w:szCs w:val="20"/>
              </w:rPr>
              <w:t xml:space="preserve">Categoría del día según patrón de demanda</w:t>
            </w:r>
          </w:p>
        </w:tc>
        <w:tc>
          <w:tcPr>
            <w:tcW w:type="dxa" w:w="1000"/>
            <w:shd w:fill="FFFFFF" w:color="auto" w:val="clear"/>
            <w:tcMar>
              <w:top w:type="dxa" w:w="40"/>
              <w:left w:type="dxa" w:w="80"/>
              <w:bottom w:type="dxa" w:w="40"/>
              <w:right w:type="dxa" w:w="80"/>
            </w:tcMar>
            <w:vAlign w:val="center"/>
          </w:tcPr>
          <w:p>
            <w:pPr>
              <w:spacing w:after="40" w:before="40"/>
              <w:jc w:val="center"/>
            </w:pPr>
            <w:r>
              <w:rPr>
                <w:color w:val="404040"/>
                <w:sz w:val="20"/>
                <w:szCs w:val="20"/>
              </w:rPr>
              <w:t xml:space="preserve">Predictora</w:t>
            </w:r>
          </w:p>
        </w:tc>
      </w:tr>
      <w:tr>
        <w:tc>
          <w:tcPr>
            <w:tcW w:type="dxa" w:w="1500"/>
            <w:shd w:fill="D9E1F2" w:color="auto" w:val="clear"/>
            <w:tcMar>
              <w:top w:type="dxa" w:w="40"/>
              <w:left w:type="dxa" w:w="80"/>
              <w:bottom w:type="dxa" w:w="40"/>
              <w:right w:type="dxa" w:w="80"/>
            </w:tcMar>
            <w:vAlign w:val="center"/>
          </w:tcPr>
          <w:p>
            <w:pPr>
              <w:spacing w:after="40" w:before="40"/>
              <w:jc w:val="left"/>
            </w:pPr>
            <w:r>
              <w:rPr>
                <w:color w:val="404040"/>
                <w:sz w:val="20"/>
                <w:szCs w:val="20"/>
              </w:rPr>
              <w:t xml:space="preserve">lluvia</w:t>
            </w:r>
          </w:p>
        </w:tc>
        <w:tc>
          <w:tcPr>
            <w:tcW w:type="dxa" w:w="1000"/>
            <w:shd w:fill="D9E1F2" w:color="auto" w:val="clear"/>
            <w:tcMar>
              <w:top w:type="dxa" w:w="40"/>
              <w:left w:type="dxa" w:w="80"/>
              <w:bottom w:type="dxa" w:w="40"/>
              <w:right w:type="dxa" w:w="80"/>
            </w:tcMar>
            <w:vAlign w:val="center"/>
          </w:tcPr>
          <w:p>
            <w:pPr>
              <w:spacing w:after="40" w:before="40"/>
              <w:jc w:val="center"/>
            </w:pPr>
            <w:r>
              <w:rPr>
                <w:color w:val="404040"/>
                <w:sz w:val="20"/>
                <w:szCs w:val="20"/>
              </w:rPr>
              <w:t xml:space="preserve">Binario</w:t>
            </w:r>
          </w:p>
        </w:tc>
        <w:tc>
          <w:tcPr>
            <w:tcW w:type="dxa" w:w="2000"/>
            <w:shd w:fill="D9E1F2" w:color="auto" w:val="clear"/>
            <w:tcMar>
              <w:top w:type="dxa" w:w="40"/>
              <w:left w:type="dxa" w:w="80"/>
              <w:bottom w:type="dxa" w:w="40"/>
              <w:right w:type="dxa" w:w="80"/>
            </w:tcMar>
            <w:vAlign w:val="center"/>
          </w:tcPr>
          <w:p>
            <w:pPr>
              <w:spacing w:after="40" w:before="40"/>
              <w:jc w:val="left"/>
            </w:pPr>
            <w:r>
              <w:rPr>
                <w:color w:val="404040"/>
                <w:sz w:val="20"/>
                <w:szCs w:val="20"/>
              </w:rPr>
              <w:t xml:space="preserve">Si / No</w:t>
            </w:r>
          </w:p>
        </w:tc>
        <w:tc>
          <w:tcPr>
            <w:tcW w:type="dxa" w:w="2800"/>
            <w:shd w:fill="D9E1F2" w:color="auto" w:val="clear"/>
            <w:tcMar>
              <w:top w:type="dxa" w:w="40"/>
              <w:left w:type="dxa" w:w="80"/>
              <w:bottom w:type="dxa" w:w="40"/>
              <w:right w:type="dxa" w:w="80"/>
            </w:tcMar>
            <w:vAlign w:val="center"/>
          </w:tcPr>
          <w:p>
            <w:pPr>
              <w:spacing w:after="40" w:before="40"/>
              <w:jc w:val="left"/>
            </w:pPr>
            <w:r>
              <w:rPr>
                <w:color w:val="404040"/>
                <w:sz w:val="20"/>
                <w:szCs w:val="20"/>
              </w:rPr>
              <w:t xml:space="preserve">Indica si hubo precipitación en el intervalo horario</w:t>
            </w:r>
          </w:p>
        </w:tc>
        <w:tc>
          <w:tcPr>
            <w:tcW w:type="dxa" w:w="1000"/>
            <w:shd w:fill="D9E1F2" w:color="auto" w:val="clear"/>
            <w:tcMar>
              <w:top w:type="dxa" w:w="40"/>
              <w:left w:type="dxa" w:w="80"/>
              <w:bottom w:type="dxa" w:w="40"/>
              <w:right w:type="dxa" w:w="80"/>
            </w:tcMar>
            <w:vAlign w:val="center"/>
          </w:tcPr>
          <w:p>
            <w:pPr>
              <w:spacing w:after="40" w:before="40"/>
              <w:jc w:val="center"/>
            </w:pPr>
            <w:r>
              <w:rPr>
                <w:color w:val="404040"/>
                <w:sz w:val="20"/>
                <w:szCs w:val="20"/>
              </w:rPr>
              <w:t xml:space="preserve">Predictora</w:t>
            </w:r>
          </w:p>
        </w:tc>
      </w:tr>
      <w:tr>
        <w:tc>
          <w:tcPr>
            <w:tcW w:type="dxa" w:w="1500"/>
            <w:shd w:fill="FFFFFF" w:color="auto" w:val="clear"/>
            <w:tcMar>
              <w:top w:type="dxa" w:w="40"/>
              <w:left w:type="dxa" w:w="80"/>
              <w:bottom w:type="dxa" w:w="40"/>
              <w:right w:type="dxa" w:w="80"/>
            </w:tcMar>
            <w:vAlign w:val="center"/>
          </w:tcPr>
          <w:p>
            <w:pPr>
              <w:spacing w:after="40" w:before="40"/>
              <w:jc w:val="left"/>
            </w:pPr>
            <w:r>
              <w:rPr>
                <w:color w:val="404040"/>
                <w:sz w:val="20"/>
                <w:szCs w:val="20"/>
              </w:rPr>
              <w:t xml:space="preserve">nivel_ocupacion</w:t>
            </w:r>
          </w:p>
        </w:tc>
        <w:tc>
          <w:tcPr>
            <w:tcW w:type="dxa" w:w="1000"/>
            <w:shd w:fill="FFFFFF" w:color="auto" w:val="clear"/>
            <w:tcMar>
              <w:top w:type="dxa" w:w="40"/>
              <w:left w:type="dxa" w:w="80"/>
              <w:bottom w:type="dxa" w:w="40"/>
              <w:right w:type="dxa" w:w="80"/>
            </w:tcMar>
            <w:vAlign w:val="center"/>
          </w:tcPr>
          <w:p>
            <w:pPr>
              <w:spacing w:after="40" w:before="40"/>
              <w:jc w:val="center"/>
            </w:pPr>
            <w:r>
              <w:rPr>
                <w:color w:val="404040"/>
                <w:sz w:val="20"/>
                <w:szCs w:val="20"/>
              </w:rPr>
              <w:t xml:space="preserve">Categórico</w:t>
            </w:r>
          </w:p>
        </w:tc>
        <w:tc>
          <w:tcPr>
            <w:tcW w:type="dxa" w:w="2000"/>
            <w:shd w:fill="FFFFFF" w:color="auto" w:val="clear"/>
            <w:tcMar>
              <w:top w:type="dxa" w:w="40"/>
              <w:left w:type="dxa" w:w="80"/>
              <w:bottom w:type="dxa" w:w="40"/>
              <w:right w:type="dxa" w:w="80"/>
            </w:tcMar>
            <w:vAlign w:val="center"/>
          </w:tcPr>
          <w:p>
            <w:pPr>
              <w:spacing w:after="40" w:before="40"/>
              <w:jc w:val="left"/>
            </w:pPr>
            <w:r>
              <w:rPr>
                <w:color w:val="404040"/>
                <w:sz w:val="20"/>
                <w:szCs w:val="20"/>
              </w:rPr>
              <w:t xml:space="preserve">Bajo, Medio, Alto, Crítico</w:t>
            </w:r>
          </w:p>
        </w:tc>
        <w:tc>
          <w:tcPr>
            <w:tcW w:type="dxa" w:w="2800"/>
            <w:shd w:fill="FFFFFF" w:color="auto" w:val="clear"/>
            <w:tcMar>
              <w:top w:type="dxa" w:w="40"/>
              <w:left w:type="dxa" w:w="80"/>
              <w:bottom w:type="dxa" w:w="40"/>
              <w:right w:type="dxa" w:w="80"/>
            </w:tcMar>
            <w:vAlign w:val="center"/>
          </w:tcPr>
          <w:p>
            <w:pPr>
              <w:spacing w:after="40" w:before="40"/>
              <w:jc w:val="left"/>
            </w:pPr>
            <w:r>
              <w:rPr>
                <w:color w:val="404040"/>
                <w:sz w:val="20"/>
                <w:szCs w:val="20"/>
              </w:rPr>
              <w:t xml:space="preserve">Variable objetivo: nivel de ocupación de la estación en el intervalo</w:t>
            </w:r>
          </w:p>
        </w:tc>
        <w:tc>
          <w:tcPr>
            <w:tcW w:type="dxa" w:w="1000"/>
            <w:shd w:fill="FFFFFF" w:color="auto" w:val="clear"/>
            <w:tcMar>
              <w:top w:type="dxa" w:w="40"/>
              <w:left w:type="dxa" w:w="80"/>
              <w:bottom w:type="dxa" w:w="40"/>
              <w:right w:type="dxa" w:w="80"/>
            </w:tcMar>
            <w:vAlign w:val="center"/>
          </w:tcPr>
          <w:p>
            <w:pPr>
              <w:spacing w:after="40" w:before="40"/>
              <w:jc w:val="center"/>
            </w:pPr>
            <w:r>
              <w:rPr>
                <w:color w:val="404040"/>
                <w:sz w:val="20"/>
                <w:szCs w:val="20"/>
              </w:rPr>
              <w:t xml:space="preserve">Objetivo (y)</w:t>
            </w:r>
          </w:p>
        </w:tc>
      </w:tr>
    </w:tbl>
    <w:p>
      <w:pPr>
        <w:spacing w:after="60"/>
      </w:pPr>
    </w:p>
    <w:p>
      <w:pPr>
        <w:pStyle w:val="Heading2"/>
        <w:spacing w:after="80" w:before="240"/>
      </w:pPr>
      <w:r>
        <w:t xml:space="preserve">3.2 estaciones_transmilenio.csv — Catálogo de estaciones</w:t>
      </w:r>
    </w:p>
    <w:p>
      <w:pPr>
        <w:spacing w:after="80"/>
      </w:pPr>
      <w:r>
        <w:rPr>
          <w:b/>
          <w:bCs/>
          <w:color w:val="000000"/>
          <w:sz w:val="22"/>
          <w:szCs w:val="22"/>
        </w:rPr>
        <w:t xml:space="preserve">Ruta: </w:t>
      </w:r>
      <w:r>
        <w:rPr>
          <w:color w:val="404040"/>
          <w:sz w:val="22"/>
          <w:szCs w:val="22"/>
        </w:rPr>
        <w:t xml:space="preserve">data/estaciones_transmilenio.csv</w:t>
      </w:r>
    </w:p>
    <w:p>
      <w:pPr>
        <w:spacing w:after="80"/>
      </w:pPr>
      <w:r>
        <w:rPr>
          <w:b/>
          <w:bCs/>
          <w:color w:val="000000"/>
          <w:sz w:val="22"/>
          <w:szCs w:val="22"/>
        </w:rPr>
        <w:t xml:space="preserve">Registros: </w:t>
      </w:r>
      <w:r>
        <w:rPr>
          <w:color w:val="404040"/>
          <w:sz w:val="22"/>
          <w:szCs w:val="22"/>
        </w:rPr>
        <w:t xml:space="preserve">30 (una fila por estación)</w:t>
      </w:r>
    </w:p>
    <w:p>
      <w:pPr>
        <w:spacing w:after="80"/>
      </w:pPr>
      <w:r>
        <w:rPr>
          <w:b/>
          <w:bCs/>
          <w:color w:val="000000"/>
          <w:sz w:val="22"/>
          <w:szCs w:val="22"/>
        </w:rPr>
        <w:t xml:space="preserve">Columnas: </w:t>
      </w:r>
      <w:r>
        <w:rPr>
          <w:color w:val="404040"/>
          <w:sz w:val="22"/>
          <w:szCs w:val="22"/>
        </w:rPr>
        <w:t xml:space="preserve">6</w:t>
      </w:r>
    </w:p>
    <w:p>
      <w:pPr>
        <w:spacing w:after="80"/>
      </w:pPr>
      <w:r>
        <w:rPr>
          <w:b/>
          <w:bCs/>
          <w:color w:val="000000"/>
          <w:sz w:val="22"/>
          <w:szCs w:val="22"/>
        </w:rPr>
        <w:t xml:space="preserve">Codificación: </w:t>
      </w:r>
      <w:r>
        <w:rPr>
          <w:color w:val="404040"/>
          <w:sz w:val="22"/>
          <w:szCs w:val="22"/>
        </w:rPr>
        <w:t xml:space="preserve">UTF-8</w:t>
      </w:r>
    </w:p>
    <w:p>
      <w:pPr>
        <w:spacing w:after="80"/>
      </w:pPr>
      <w:r>
        <w:rPr>
          <w:b/>
          <w:bCs/>
          <w:color w:val="000000"/>
          <w:sz w:val="22"/>
          <w:szCs w:val="22"/>
        </w:rPr>
        <w:t xml:space="preserve">Separador: </w:t>
      </w:r>
      <w:r>
        <w:rPr>
          <w:color w:val="404040"/>
          <w:sz w:val="22"/>
          <w:szCs w:val="22"/>
        </w:rPr>
        <w:t xml:space="preserve">Coma (,)</w:t>
      </w:r>
    </w:p>
    <w:p>
      <w:pPr>
        <w:spacing w:after="60"/>
      </w:pPr>
    </w:p>
    <w:p>
      <w:pPr>
        <w:spacing w:after="100"/>
        <w:jc w:val="both"/>
      </w:pPr>
      <w:r>
        <w:rPr>
          <w:color w:val="404040"/>
          <w:sz w:val="22"/>
          <w:szCs w:val="22"/>
        </w:rPr>
        <w:t xml:space="preserve">Este archivo actúa como catálogo de referencia de las 30 estaciones incluidas en el estudio. Contiene atributos descriptivos que se unen al dataset principal mediante el nombre de la estación. Cubre las 11 troncales del sistema y los tres tipos de estación.</w:t>
      </w:r>
    </w:p>
    <w:p>
      <w:pPr>
        <w:spacing w:after="60"/>
      </w:pPr>
    </w:p>
    <w:tbl>
      <w:tblPr>
        <w:tblW w:type="dxa" w:w="8300"/>
        <w:tblBorders>
          <w:top w:val="single" w:color="AAAAAA" w:sz="4"/>
          <w:left w:val="single" w:color="AAAAAA" w:sz="4"/>
          <w:bottom w:val="single" w:color="AAAAAA" w:sz="4"/>
          <w:right w:val="single" w:color="AAAAAA" w:sz="4"/>
          <w:insideH w:val="single" w:color="CCCCCC" w:sz="4"/>
          <w:insideV w:val="single" w:color="CCCCCC" w:sz="4"/>
        </w:tblBorders>
      </w:tblPr>
      <w:tblGrid>
        <w:gridCol w:w="1400"/>
        <w:gridCol w:w="900"/>
        <w:gridCol w:w="2200"/>
        <w:gridCol w:w="2900"/>
        <w:gridCol w:w="900"/>
      </w:tblGrid>
      <w:tr>
        <w:trPr>
          <w:tblHeader/>
        </w:trPr>
        <w:tc>
          <w:tcPr>
            <w:tcW w:type="dxa" w:w="1400"/>
            <w:shd w:fill="1F3864" w:color="auto" w:val="clear"/>
            <w:tcMar>
              <w:top w:type="dxa" w:w="60"/>
              <w:left w:type="dxa" w:w="80"/>
              <w:bottom w:type="dxa" w:w="60"/>
              <w:right w:type="dxa" w:w="80"/>
            </w:tcMar>
            <w:vAlign w:val="center"/>
          </w:tcPr>
          <w:p>
            <w:pPr>
              <w:spacing w:after="60" w:before="60"/>
              <w:jc w:val="center"/>
            </w:pPr>
            <w:r>
              <w:rPr>
                <w:b/>
                <w:bCs/>
                <w:color w:val="FFFFFF"/>
                <w:sz w:val="20"/>
                <w:szCs w:val="20"/>
              </w:rPr>
              <w:t xml:space="preserve">Campo</w:t>
            </w:r>
          </w:p>
        </w:tc>
        <w:tc>
          <w:tcPr>
            <w:tcW w:type="dxa" w:w="900"/>
            <w:shd w:fill="1F3864" w:color="auto" w:val="clear"/>
            <w:tcMar>
              <w:top w:type="dxa" w:w="60"/>
              <w:left w:type="dxa" w:w="80"/>
              <w:bottom w:type="dxa" w:w="60"/>
              <w:right w:type="dxa" w:w="80"/>
            </w:tcMar>
            <w:vAlign w:val="center"/>
          </w:tcPr>
          <w:p>
            <w:pPr>
              <w:spacing w:after="60" w:before="60"/>
              <w:jc w:val="center"/>
            </w:pPr>
            <w:r>
              <w:rPr>
                <w:b/>
                <w:bCs/>
                <w:color w:val="FFFFFF"/>
                <w:sz w:val="20"/>
                <w:szCs w:val="20"/>
              </w:rPr>
              <w:t xml:space="preserve">Tipo</w:t>
            </w:r>
          </w:p>
        </w:tc>
        <w:tc>
          <w:tcPr>
            <w:tcW w:type="dxa" w:w="2200"/>
            <w:shd w:fill="1F3864" w:color="auto" w:val="clear"/>
            <w:tcMar>
              <w:top w:type="dxa" w:w="60"/>
              <w:left w:type="dxa" w:w="80"/>
              <w:bottom w:type="dxa" w:w="60"/>
              <w:right w:type="dxa" w:w="80"/>
            </w:tcMar>
            <w:vAlign w:val="center"/>
          </w:tcPr>
          <w:p>
            <w:pPr>
              <w:spacing w:after="60" w:before="60"/>
              <w:jc w:val="center"/>
            </w:pPr>
            <w:r>
              <w:rPr>
                <w:b/>
                <w:bCs/>
                <w:color w:val="FFFFFF"/>
                <w:sz w:val="20"/>
                <w:szCs w:val="20"/>
              </w:rPr>
              <w:t xml:space="preserve">Valores</w:t>
            </w:r>
          </w:p>
        </w:tc>
        <w:tc>
          <w:tcPr>
            <w:tcW w:type="dxa" w:w="2900"/>
            <w:shd w:fill="1F3864" w:color="auto" w:val="clear"/>
            <w:tcMar>
              <w:top w:type="dxa" w:w="60"/>
              <w:left w:type="dxa" w:w="80"/>
              <w:bottom w:type="dxa" w:w="60"/>
              <w:right w:type="dxa" w:w="80"/>
            </w:tcMar>
            <w:vAlign w:val="center"/>
          </w:tcPr>
          <w:p>
            <w:pPr>
              <w:spacing w:after="60" w:before="60"/>
              <w:jc w:val="center"/>
            </w:pPr>
            <w:r>
              <w:rPr>
                <w:b/>
                <w:bCs/>
                <w:color w:val="FFFFFF"/>
                <w:sz w:val="20"/>
                <w:szCs w:val="20"/>
              </w:rPr>
              <w:t xml:space="preserve">Descripción</w:t>
            </w:r>
          </w:p>
        </w:tc>
        <w:tc>
          <w:tcPr>
            <w:tcW w:type="dxa" w:w="900"/>
            <w:shd w:fill="1F3864" w:color="auto" w:val="clear"/>
            <w:tcMar>
              <w:top w:type="dxa" w:w="60"/>
              <w:left w:type="dxa" w:w="80"/>
              <w:bottom w:type="dxa" w:w="60"/>
              <w:right w:type="dxa" w:w="80"/>
            </w:tcMar>
            <w:vAlign w:val="center"/>
          </w:tcPr>
          <w:p>
            <w:pPr>
              <w:spacing w:after="60" w:before="60"/>
              <w:jc w:val="center"/>
            </w:pPr>
            <w:r>
              <w:rPr>
                <w:b/>
                <w:bCs/>
                <w:color w:val="FFFFFF"/>
                <w:sz w:val="20"/>
                <w:szCs w:val="20"/>
              </w:rPr>
              <w:t xml:space="preserve">Notas</w:t>
            </w:r>
          </w:p>
        </w:tc>
      </w:tr>
      <w:tr>
        <w:tc>
          <w:tcPr>
            <w:tcW w:type="dxa" w:w="1400"/>
            <w:shd w:fill="FFFFFF" w:color="auto" w:val="clear"/>
            <w:tcMar>
              <w:top w:type="dxa" w:w="40"/>
              <w:left w:type="dxa" w:w="80"/>
              <w:bottom w:type="dxa" w:w="40"/>
              <w:right w:type="dxa" w:w="80"/>
            </w:tcMar>
            <w:vAlign w:val="center"/>
          </w:tcPr>
          <w:p>
            <w:pPr>
              <w:spacing w:after="40" w:before="40"/>
              <w:jc w:val="left"/>
            </w:pPr>
            <w:r>
              <w:rPr>
                <w:color w:val="404040"/>
                <w:sz w:val="20"/>
                <w:szCs w:val="20"/>
              </w:rPr>
              <w:t xml:space="preserve">id_estacion</w:t>
            </w:r>
          </w:p>
        </w:tc>
        <w:tc>
          <w:tcPr>
            <w:tcW w:type="dxa" w:w="900"/>
            <w:shd w:fill="FFFFFF" w:color="auto" w:val="clear"/>
            <w:tcMar>
              <w:top w:type="dxa" w:w="40"/>
              <w:left w:type="dxa" w:w="80"/>
              <w:bottom w:type="dxa" w:w="40"/>
              <w:right w:type="dxa" w:w="80"/>
            </w:tcMar>
            <w:vAlign w:val="center"/>
          </w:tcPr>
          <w:p>
            <w:pPr>
              <w:spacing w:after="40" w:before="40"/>
              <w:jc w:val="center"/>
            </w:pPr>
            <w:r>
              <w:rPr>
                <w:color w:val="404040"/>
                <w:sz w:val="20"/>
                <w:szCs w:val="20"/>
              </w:rPr>
              <w:t xml:space="preserve">Entero</w:t>
            </w:r>
          </w:p>
        </w:tc>
        <w:tc>
          <w:tcPr>
            <w:tcW w:type="dxa" w:w="2200"/>
            <w:shd w:fill="FFFFFF" w:color="auto" w:val="clear"/>
            <w:tcMar>
              <w:top w:type="dxa" w:w="40"/>
              <w:left w:type="dxa" w:w="80"/>
              <w:bottom w:type="dxa" w:w="40"/>
              <w:right w:type="dxa" w:w="80"/>
            </w:tcMar>
            <w:vAlign w:val="center"/>
          </w:tcPr>
          <w:p>
            <w:pPr>
              <w:spacing w:after="40" w:before="40"/>
              <w:jc w:val="left"/>
            </w:pPr>
            <w:r>
              <w:rPr>
                <w:color w:val="404040"/>
                <w:sz w:val="20"/>
                <w:szCs w:val="20"/>
              </w:rPr>
              <w:t xml:space="preserve">1 – 30</w:t>
            </w:r>
          </w:p>
        </w:tc>
        <w:tc>
          <w:tcPr>
            <w:tcW w:type="dxa" w:w="2900"/>
            <w:shd w:fill="FFFFFF" w:color="auto" w:val="clear"/>
            <w:tcMar>
              <w:top w:type="dxa" w:w="40"/>
              <w:left w:type="dxa" w:w="80"/>
              <w:bottom w:type="dxa" w:w="40"/>
              <w:right w:type="dxa" w:w="80"/>
            </w:tcMar>
            <w:vAlign w:val="center"/>
          </w:tcPr>
          <w:p>
            <w:pPr>
              <w:spacing w:after="40" w:before="40"/>
              <w:jc w:val="left"/>
            </w:pPr>
            <w:r>
              <w:rPr>
                <w:color w:val="404040"/>
                <w:sz w:val="20"/>
                <w:szCs w:val="20"/>
              </w:rPr>
              <w:t xml:space="preserve">Identificador numérico único de la estación</w:t>
            </w:r>
          </w:p>
        </w:tc>
        <w:tc>
          <w:tcPr>
            <w:tcW w:type="dxa" w:w="900"/>
            <w:shd w:fill="FFFFFF" w:color="auto" w:val="clear"/>
            <w:tcMar>
              <w:top w:type="dxa" w:w="40"/>
              <w:left w:type="dxa" w:w="80"/>
              <w:bottom w:type="dxa" w:w="40"/>
              <w:right w:type="dxa" w:w="80"/>
            </w:tcMar>
            <w:vAlign w:val="center"/>
          </w:tcPr>
          <w:p>
            <w:pPr>
              <w:spacing w:after="40" w:before="40"/>
              <w:jc w:val="center"/>
            </w:pPr>
            <w:r>
              <w:rPr>
                <w:color w:val="404040"/>
                <w:sz w:val="20"/>
                <w:szCs w:val="20"/>
              </w:rPr>
              <w:t xml:space="preserve">—</w:t>
            </w:r>
          </w:p>
        </w:tc>
      </w:tr>
      <w:tr>
        <w:tc>
          <w:tcPr>
            <w:tcW w:type="dxa" w:w="1400"/>
            <w:shd w:fill="D9E1F2" w:color="auto" w:val="clear"/>
            <w:tcMar>
              <w:top w:type="dxa" w:w="40"/>
              <w:left w:type="dxa" w:w="80"/>
              <w:bottom w:type="dxa" w:w="40"/>
              <w:right w:type="dxa" w:w="80"/>
            </w:tcMar>
            <w:vAlign w:val="center"/>
          </w:tcPr>
          <w:p>
            <w:pPr>
              <w:spacing w:after="40" w:before="40"/>
              <w:jc w:val="left"/>
            </w:pPr>
            <w:r>
              <w:rPr>
                <w:color w:val="404040"/>
                <w:sz w:val="20"/>
                <w:szCs w:val="20"/>
              </w:rPr>
              <w:t xml:space="preserve">estacion</w:t>
            </w:r>
          </w:p>
        </w:tc>
        <w:tc>
          <w:tcPr>
            <w:tcW w:type="dxa" w:w="900"/>
            <w:shd w:fill="D9E1F2" w:color="auto" w:val="clear"/>
            <w:tcMar>
              <w:top w:type="dxa" w:w="40"/>
              <w:left w:type="dxa" w:w="80"/>
              <w:bottom w:type="dxa" w:w="40"/>
              <w:right w:type="dxa" w:w="80"/>
            </w:tcMar>
            <w:vAlign w:val="center"/>
          </w:tcPr>
          <w:p>
            <w:pPr>
              <w:spacing w:after="40" w:before="40"/>
              <w:jc w:val="center"/>
            </w:pPr>
            <w:r>
              <w:rPr>
                <w:color w:val="404040"/>
                <w:sz w:val="20"/>
                <w:szCs w:val="20"/>
              </w:rPr>
              <w:t xml:space="preserve">Texto</w:t>
            </w:r>
          </w:p>
        </w:tc>
        <w:tc>
          <w:tcPr>
            <w:tcW w:type="dxa" w:w="2200"/>
            <w:shd w:fill="D9E1F2" w:color="auto" w:val="clear"/>
            <w:tcMar>
              <w:top w:type="dxa" w:w="40"/>
              <w:left w:type="dxa" w:w="80"/>
              <w:bottom w:type="dxa" w:w="40"/>
              <w:right w:type="dxa" w:w="80"/>
            </w:tcMar>
            <w:vAlign w:val="center"/>
          </w:tcPr>
          <w:p>
            <w:pPr>
              <w:spacing w:after="40" w:before="40"/>
              <w:jc w:val="left"/>
            </w:pPr>
            <w:r>
              <w:rPr>
                <w:color w:val="404040"/>
                <w:sz w:val="20"/>
                <w:szCs w:val="20"/>
              </w:rPr>
              <w:t xml:space="preserve">30 valores únicos</w:t>
            </w:r>
          </w:p>
        </w:tc>
        <w:tc>
          <w:tcPr>
            <w:tcW w:type="dxa" w:w="2900"/>
            <w:shd w:fill="D9E1F2" w:color="auto" w:val="clear"/>
            <w:tcMar>
              <w:top w:type="dxa" w:w="40"/>
              <w:left w:type="dxa" w:w="80"/>
              <w:bottom w:type="dxa" w:w="40"/>
              <w:right w:type="dxa" w:w="80"/>
            </w:tcMar>
            <w:vAlign w:val="center"/>
          </w:tcPr>
          <w:p>
            <w:pPr>
              <w:spacing w:after="40" w:before="40"/>
              <w:jc w:val="left"/>
            </w:pPr>
            <w:r>
              <w:rPr>
                <w:color w:val="404040"/>
                <w:sz w:val="20"/>
                <w:szCs w:val="20"/>
              </w:rPr>
              <w:t xml:space="preserve">Nombre oficial de la estación</w:t>
            </w:r>
          </w:p>
        </w:tc>
        <w:tc>
          <w:tcPr>
            <w:tcW w:type="dxa" w:w="900"/>
            <w:shd w:fill="D9E1F2" w:color="auto" w:val="clear"/>
            <w:tcMar>
              <w:top w:type="dxa" w:w="40"/>
              <w:left w:type="dxa" w:w="80"/>
              <w:bottom w:type="dxa" w:w="40"/>
              <w:right w:type="dxa" w:w="80"/>
            </w:tcMar>
            <w:vAlign w:val="center"/>
          </w:tcPr>
          <w:p>
            <w:pPr>
              <w:spacing w:after="40" w:before="40"/>
              <w:jc w:val="center"/>
            </w:pPr>
            <w:r>
              <w:rPr>
                <w:color w:val="404040"/>
                <w:sz w:val="20"/>
                <w:szCs w:val="20"/>
              </w:rPr>
              <w:t xml:space="preserve">—</w:t>
            </w:r>
          </w:p>
        </w:tc>
      </w:tr>
      <w:tr>
        <w:tc>
          <w:tcPr>
            <w:tcW w:type="dxa" w:w="1400"/>
            <w:shd w:fill="FFFFFF" w:color="auto" w:val="clear"/>
            <w:tcMar>
              <w:top w:type="dxa" w:w="40"/>
              <w:left w:type="dxa" w:w="80"/>
              <w:bottom w:type="dxa" w:w="40"/>
              <w:right w:type="dxa" w:w="80"/>
            </w:tcMar>
            <w:vAlign w:val="center"/>
          </w:tcPr>
          <w:p>
            <w:pPr>
              <w:spacing w:after="40" w:before="40"/>
              <w:jc w:val="left"/>
            </w:pPr>
            <w:r>
              <w:rPr>
                <w:color w:val="404040"/>
                <w:sz w:val="20"/>
                <w:szCs w:val="20"/>
              </w:rPr>
              <w:t xml:space="preserve">troncal</w:t>
            </w:r>
          </w:p>
        </w:tc>
        <w:tc>
          <w:tcPr>
            <w:tcW w:type="dxa" w:w="900"/>
            <w:shd w:fill="FFFFFF" w:color="auto" w:val="clear"/>
            <w:tcMar>
              <w:top w:type="dxa" w:w="40"/>
              <w:left w:type="dxa" w:w="80"/>
              <w:bottom w:type="dxa" w:w="40"/>
              <w:right w:type="dxa" w:w="80"/>
            </w:tcMar>
            <w:vAlign w:val="center"/>
          </w:tcPr>
          <w:p>
            <w:pPr>
              <w:spacing w:after="40" w:before="40"/>
              <w:jc w:val="center"/>
            </w:pPr>
            <w:r>
              <w:rPr>
                <w:color w:val="404040"/>
                <w:sz w:val="20"/>
                <w:szCs w:val="20"/>
              </w:rPr>
              <w:t xml:space="preserve">Categórico</w:t>
            </w:r>
          </w:p>
        </w:tc>
        <w:tc>
          <w:tcPr>
            <w:tcW w:type="dxa" w:w="2200"/>
            <w:shd w:fill="FFFFFF" w:color="auto" w:val="clear"/>
            <w:tcMar>
              <w:top w:type="dxa" w:w="40"/>
              <w:left w:type="dxa" w:w="80"/>
              <w:bottom w:type="dxa" w:w="40"/>
              <w:right w:type="dxa" w:w="80"/>
            </w:tcMar>
            <w:vAlign w:val="center"/>
          </w:tcPr>
          <w:p>
            <w:pPr>
              <w:spacing w:after="40" w:before="40"/>
              <w:jc w:val="left"/>
            </w:pPr>
            <w:r>
              <w:rPr>
                <w:color w:val="404040"/>
                <w:sz w:val="20"/>
                <w:szCs w:val="20"/>
              </w:rPr>
              <w:t xml:space="preserve">A, B, C, D, E, F, G, H, I, J, K</w:t>
            </w:r>
          </w:p>
        </w:tc>
        <w:tc>
          <w:tcPr>
            <w:tcW w:type="dxa" w:w="2900"/>
            <w:shd w:fill="FFFFFF" w:color="auto" w:val="clear"/>
            <w:tcMar>
              <w:top w:type="dxa" w:w="40"/>
              <w:left w:type="dxa" w:w="80"/>
              <w:bottom w:type="dxa" w:w="40"/>
              <w:right w:type="dxa" w:w="80"/>
            </w:tcMar>
            <w:vAlign w:val="center"/>
          </w:tcPr>
          <w:p>
            <w:pPr>
              <w:spacing w:after="40" w:before="40"/>
              <w:jc w:val="left"/>
            </w:pPr>
            <w:r>
              <w:rPr>
                <w:color w:val="404040"/>
                <w:sz w:val="20"/>
                <w:szCs w:val="20"/>
              </w:rPr>
              <w:t xml:space="preserve">11 troncales del sistema TransMilenio</w:t>
            </w:r>
          </w:p>
        </w:tc>
        <w:tc>
          <w:tcPr>
            <w:tcW w:type="dxa" w:w="900"/>
            <w:shd w:fill="FFFFFF" w:color="auto" w:val="clear"/>
            <w:tcMar>
              <w:top w:type="dxa" w:w="40"/>
              <w:left w:type="dxa" w:w="80"/>
              <w:bottom w:type="dxa" w:w="40"/>
              <w:right w:type="dxa" w:w="80"/>
            </w:tcMar>
            <w:vAlign w:val="center"/>
          </w:tcPr>
          <w:p>
            <w:pPr>
              <w:spacing w:after="40" w:before="40"/>
              <w:jc w:val="center"/>
            </w:pPr>
            <w:r>
              <w:rPr>
                <w:color w:val="404040"/>
                <w:sz w:val="20"/>
                <w:szCs w:val="20"/>
              </w:rPr>
              <w:t xml:space="preserve">—</w:t>
            </w:r>
          </w:p>
        </w:tc>
      </w:tr>
      <w:tr>
        <w:tc>
          <w:tcPr>
            <w:tcW w:type="dxa" w:w="1400"/>
            <w:shd w:fill="D9E1F2" w:color="auto" w:val="clear"/>
            <w:tcMar>
              <w:top w:type="dxa" w:w="40"/>
              <w:left w:type="dxa" w:w="80"/>
              <w:bottom w:type="dxa" w:w="40"/>
              <w:right w:type="dxa" w:w="80"/>
            </w:tcMar>
            <w:vAlign w:val="center"/>
          </w:tcPr>
          <w:p>
            <w:pPr>
              <w:spacing w:after="40" w:before="40"/>
              <w:jc w:val="left"/>
            </w:pPr>
            <w:r>
              <w:rPr>
                <w:color w:val="404040"/>
                <w:sz w:val="20"/>
                <w:szCs w:val="20"/>
              </w:rPr>
              <w:t xml:space="preserve">tipo_estacion</w:t>
            </w:r>
          </w:p>
        </w:tc>
        <w:tc>
          <w:tcPr>
            <w:tcW w:type="dxa" w:w="900"/>
            <w:shd w:fill="D9E1F2" w:color="auto" w:val="clear"/>
            <w:tcMar>
              <w:top w:type="dxa" w:w="40"/>
              <w:left w:type="dxa" w:w="80"/>
              <w:bottom w:type="dxa" w:w="40"/>
              <w:right w:type="dxa" w:w="80"/>
            </w:tcMar>
            <w:vAlign w:val="center"/>
          </w:tcPr>
          <w:p>
            <w:pPr>
              <w:spacing w:after="40" w:before="40"/>
              <w:jc w:val="center"/>
            </w:pPr>
            <w:r>
              <w:rPr>
                <w:color w:val="404040"/>
                <w:sz w:val="20"/>
                <w:szCs w:val="20"/>
              </w:rPr>
              <w:t xml:space="preserve">Categórico</w:t>
            </w:r>
          </w:p>
        </w:tc>
        <w:tc>
          <w:tcPr>
            <w:tcW w:type="dxa" w:w="2200"/>
            <w:shd w:fill="D9E1F2" w:color="auto" w:val="clear"/>
            <w:tcMar>
              <w:top w:type="dxa" w:w="40"/>
              <w:left w:type="dxa" w:w="80"/>
              <w:bottom w:type="dxa" w:w="40"/>
              <w:right w:type="dxa" w:w="80"/>
            </w:tcMar>
            <w:vAlign w:val="center"/>
          </w:tcPr>
          <w:p>
            <w:pPr>
              <w:spacing w:after="40" w:before="40"/>
              <w:jc w:val="left"/>
            </w:pPr>
            <w:r>
              <w:rPr>
                <w:color w:val="404040"/>
                <w:sz w:val="20"/>
                <w:szCs w:val="20"/>
              </w:rPr>
              <w:t xml:space="preserve">Portal, Intermedia, Sencilla</w:t>
            </w:r>
          </w:p>
        </w:tc>
        <w:tc>
          <w:tcPr>
            <w:tcW w:type="dxa" w:w="2900"/>
            <w:shd w:fill="D9E1F2" w:color="auto" w:val="clear"/>
            <w:tcMar>
              <w:top w:type="dxa" w:w="40"/>
              <w:left w:type="dxa" w:w="80"/>
              <w:bottom w:type="dxa" w:w="40"/>
              <w:right w:type="dxa" w:w="80"/>
            </w:tcMar>
            <w:vAlign w:val="center"/>
          </w:tcPr>
          <w:p>
            <w:pPr>
              <w:spacing w:after="40" w:before="40"/>
              <w:jc w:val="left"/>
            </w:pPr>
            <w:r>
              <w:rPr>
                <w:color w:val="404040"/>
                <w:sz w:val="20"/>
                <w:szCs w:val="20"/>
              </w:rPr>
              <w:t xml:space="preserve">Clasificación física de la estación</w:t>
            </w:r>
          </w:p>
        </w:tc>
        <w:tc>
          <w:tcPr>
            <w:tcW w:type="dxa" w:w="900"/>
            <w:shd w:fill="D9E1F2" w:color="auto" w:val="clear"/>
            <w:tcMar>
              <w:top w:type="dxa" w:w="40"/>
              <w:left w:type="dxa" w:w="80"/>
              <w:bottom w:type="dxa" w:w="40"/>
              <w:right w:type="dxa" w:w="80"/>
            </w:tcMar>
            <w:vAlign w:val="center"/>
          </w:tcPr>
          <w:p>
            <w:pPr>
              <w:spacing w:after="40" w:before="40"/>
              <w:jc w:val="center"/>
            </w:pPr>
            <w:r>
              <w:rPr>
                <w:color w:val="404040"/>
                <w:sz w:val="20"/>
                <w:szCs w:val="20"/>
              </w:rPr>
              <w:t xml:space="preserve">Unión con dataset principal</w:t>
            </w:r>
          </w:p>
        </w:tc>
      </w:tr>
      <w:tr>
        <w:tc>
          <w:tcPr>
            <w:tcW w:type="dxa" w:w="1400"/>
            <w:shd w:fill="FFFFFF" w:color="auto" w:val="clear"/>
            <w:tcMar>
              <w:top w:type="dxa" w:w="40"/>
              <w:left w:type="dxa" w:w="80"/>
              <w:bottom w:type="dxa" w:w="40"/>
              <w:right w:type="dxa" w:w="80"/>
            </w:tcMar>
            <w:vAlign w:val="center"/>
          </w:tcPr>
          <w:p>
            <w:pPr>
              <w:spacing w:after="40" w:before="40"/>
              <w:jc w:val="left"/>
            </w:pPr>
            <w:r>
              <w:rPr>
                <w:color w:val="404040"/>
                <w:sz w:val="20"/>
                <w:szCs w:val="20"/>
              </w:rPr>
              <w:t xml:space="preserve">zona</w:t>
            </w:r>
          </w:p>
        </w:tc>
        <w:tc>
          <w:tcPr>
            <w:tcW w:type="dxa" w:w="900"/>
            <w:shd w:fill="FFFFFF" w:color="auto" w:val="clear"/>
            <w:tcMar>
              <w:top w:type="dxa" w:w="40"/>
              <w:left w:type="dxa" w:w="80"/>
              <w:bottom w:type="dxa" w:w="40"/>
              <w:right w:type="dxa" w:w="80"/>
            </w:tcMar>
            <w:vAlign w:val="center"/>
          </w:tcPr>
          <w:p>
            <w:pPr>
              <w:spacing w:after="40" w:before="40"/>
              <w:jc w:val="center"/>
            </w:pPr>
            <w:r>
              <w:rPr>
                <w:color w:val="404040"/>
                <w:sz w:val="20"/>
                <w:szCs w:val="20"/>
              </w:rPr>
              <w:t xml:space="preserve">Categórico</w:t>
            </w:r>
          </w:p>
        </w:tc>
        <w:tc>
          <w:tcPr>
            <w:tcW w:type="dxa" w:w="2200"/>
            <w:shd w:fill="FFFFFF" w:color="auto" w:val="clear"/>
            <w:tcMar>
              <w:top w:type="dxa" w:w="40"/>
              <w:left w:type="dxa" w:w="80"/>
              <w:bottom w:type="dxa" w:w="40"/>
              <w:right w:type="dxa" w:w="80"/>
            </w:tcMar>
            <w:vAlign w:val="center"/>
          </w:tcPr>
          <w:p>
            <w:pPr>
              <w:spacing w:after="40" w:before="40"/>
              <w:jc w:val="left"/>
            </w:pPr>
            <w:r>
              <w:rPr>
                <w:color w:val="404040"/>
                <w:sz w:val="20"/>
                <w:szCs w:val="20"/>
              </w:rPr>
              <w:t xml:space="preserve">Periferia, Corredor, Centro</w:t>
            </w:r>
          </w:p>
        </w:tc>
        <w:tc>
          <w:tcPr>
            <w:tcW w:type="dxa" w:w="2900"/>
            <w:shd w:fill="FFFFFF" w:color="auto" w:val="clear"/>
            <w:tcMar>
              <w:top w:type="dxa" w:w="40"/>
              <w:left w:type="dxa" w:w="80"/>
              <w:bottom w:type="dxa" w:w="40"/>
              <w:right w:type="dxa" w:w="80"/>
            </w:tcMar>
            <w:vAlign w:val="center"/>
          </w:tcPr>
          <w:p>
            <w:pPr>
              <w:spacing w:after="40" w:before="40"/>
              <w:jc w:val="left"/>
            </w:pPr>
            <w:r>
              <w:rPr>
                <w:color w:val="404040"/>
                <w:sz w:val="20"/>
                <w:szCs w:val="20"/>
              </w:rPr>
              <w:t xml:space="preserve">Ubicación funcional en la ciudad</w:t>
            </w:r>
          </w:p>
        </w:tc>
        <w:tc>
          <w:tcPr>
            <w:tcW w:type="dxa" w:w="900"/>
            <w:shd w:fill="FFFFFF" w:color="auto" w:val="clear"/>
            <w:tcMar>
              <w:top w:type="dxa" w:w="40"/>
              <w:left w:type="dxa" w:w="80"/>
              <w:bottom w:type="dxa" w:w="40"/>
              <w:right w:type="dxa" w:w="80"/>
            </w:tcMar>
            <w:vAlign w:val="center"/>
          </w:tcPr>
          <w:p>
            <w:pPr>
              <w:spacing w:after="40" w:before="40"/>
              <w:jc w:val="center"/>
            </w:pPr>
            <w:r>
              <w:rPr>
                <w:color w:val="404040"/>
                <w:sz w:val="20"/>
                <w:szCs w:val="20"/>
              </w:rPr>
              <w:t xml:space="preserve">Unión con dataset principal</w:t>
            </w:r>
          </w:p>
        </w:tc>
      </w:tr>
      <w:tr>
        <w:tc>
          <w:tcPr>
            <w:tcW w:type="dxa" w:w="1400"/>
            <w:shd w:fill="D9E1F2" w:color="auto" w:val="clear"/>
            <w:tcMar>
              <w:top w:type="dxa" w:w="40"/>
              <w:left w:type="dxa" w:w="80"/>
              <w:bottom w:type="dxa" w:w="40"/>
              <w:right w:type="dxa" w:w="80"/>
            </w:tcMar>
            <w:vAlign w:val="center"/>
          </w:tcPr>
          <w:p>
            <w:pPr>
              <w:spacing w:after="40" w:before="40"/>
              <w:jc w:val="left"/>
            </w:pPr>
            <w:r>
              <w:rPr>
                <w:color w:val="404040"/>
                <w:sz w:val="20"/>
                <w:szCs w:val="20"/>
              </w:rPr>
              <w:t xml:space="preserve">conexiones</w:t>
            </w:r>
          </w:p>
        </w:tc>
        <w:tc>
          <w:tcPr>
            <w:tcW w:type="dxa" w:w="900"/>
            <w:shd w:fill="D9E1F2" w:color="auto" w:val="clear"/>
            <w:tcMar>
              <w:top w:type="dxa" w:w="40"/>
              <w:left w:type="dxa" w:w="80"/>
              <w:bottom w:type="dxa" w:w="40"/>
              <w:right w:type="dxa" w:w="80"/>
            </w:tcMar>
            <w:vAlign w:val="center"/>
          </w:tcPr>
          <w:p>
            <w:pPr>
              <w:spacing w:after="40" w:before="40"/>
              <w:jc w:val="center"/>
            </w:pPr>
            <w:r>
              <w:rPr>
                <w:color w:val="404040"/>
                <w:sz w:val="20"/>
                <w:szCs w:val="20"/>
              </w:rPr>
              <w:t xml:space="preserve">Entero</w:t>
            </w:r>
          </w:p>
        </w:tc>
        <w:tc>
          <w:tcPr>
            <w:tcW w:type="dxa" w:w="2200"/>
            <w:shd w:fill="D9E1F2" w:color="auto" w:val="clear"/>
            <w:tcMar>
              <w:top w:type="dxa" w:w="40"/>
              <w:left w:type="dxa" w:w="80"/>
              <w:bottom w:type="dxa" w:w="40"/>
              <w:right w:type="dxa" w:w="80"/>
            </w:tcMar>
            <w:vAlign w:val="center"/>
          </w:tcPr>
          <w:p>
            <w:pPr>
              <w:spacing w:after="40" w:before="40"/>
              <w:jc w:val="left"/>
            </w:pPr>
            <w:r>
              <w:rPr>
                <w:color w:val="404040"/>
                <w:sz w:val="20"/>
                <w:szCs w:val="20"/>
              </w:rPr>
              <w:t xml:space="preserve">1 – 3</w:t>
            </w:r>
          </w:p>
        </w:tc>
        <w:tc>
          <w:tcPr>
            <w:tcW w:type="dxa" w:w="2900"/>
            <w:shd w:fill="D9E1F2" w:color="auto" w:val="clear"/>
            <w:tcMar>
              <w:top w:type="dxa" w:w="40"/>
              <w:left w:type="dxa" w:w="80"/>
              <w:bottom w:type="dxa" w:w="40"/>
              <w:right w:type="dxa" w:w="80"/>
            </w:tcMar>
            <w:vAlign w:val="center"/>
          </w:tcPr>
          <w:p>
            <w:pPr>
              <w:spacing w:after="40" w:before="40"/>
              <w:jc w:val="left"/>
            </w:pPr>
            <w:r>
              <w:rPr>
                <w:color w:val="404040"/>
                <w:sz w:val="20"/>
                <w:szCs w:val="20"/>
              </w:rPr>
              <w:t xml:space="preserve">Número de troncales que confluyen en la estación</w:t>
            </w:r>
          </w:p>
        </w:tc>
        <w:tc>
          <w:tcPr>
            <w:tcW w:type="dxa" w:w="900"/>
            <w:shd w:fill="D9E1F2" w:color="auto" w:val="clear"/>
            <w:tcMar>
              <w:top w:type="dxa" w:w="40"/>
              <w:left w:type="dxa" w:w="80"/>
              <w:bottom w:type="dxa" w:w="40"/>
              <w:right w:type="dxa" w:w="80"/>
            </w:tcMar>
            <w:vAlign w:val="center"/>
          </w:tcPr>
          <w:p>
            <w:pPr>
              <w:spacing w:after="40" w:before="40"/>
              <w:jc w:val="center"/>
            </w:pPr>
            <w:r>
              <w:rPr>
                <w:color w:val="404040"/>
                <w:sz w:val="20"/>
                <w:szCs w:val="20"/>
              </w:rPr>
              <w:t xml:space="preserve">—</w:t>
            </w:r>
          </w:p>
        </w:tc>
      </w:tr>
    </w:tbl>
    <w:p>
      <w:pPr>
        <w:spacing w:after="60"/>
      </w:pPr>
    </w:p>
    <w:p>
      <w:pPr>
        <w:pStyle w:val="Heading1"/>
        <w:pBdr>
          <w:bottom w:val="single" w:color="1F3864" w:sz="6"/>
        </w:pBdr>
        <w:spacing w:after="120" w:before="300"/>
      </w:pPr>
      <w:r>
        <w:t xml:space="preserve">4. Variable Objetivo</w:t>
      </w:r>
    </w:p>
    <w:p>
      <w:pPr>
        <w:spacing w:after="100"/>
        <w:jc w:val="both"/>
      </w:pPr>
      <w:r>
        <w:rPr>
          <w:color w:val="404040"/>
          <w:sz w:val="22"/>
          <w:szCs w:val="22"/>
        </w:rPr>
        <w:t xml:space="preserve">La variable objetivo nivel_ocupacion es una variable categórica ordinal con cuatro clases, derivada de la relación entre la demanda observada y la capacidad instalada de la estación durante cada franja horaria.</w:t>
      </w:r>
    </w:p>
    <w:p>
      <w:pPr>
        <w:pStyle w:val="Heading2"/>
        <w:spacing w:after="80" w:before="240"/>
      </w:pPr>
      <w:r>
        <w:t xml:space="preserve">4.1 Definición de las clases</w:t>
      </w:r>
    </w:p>
    <w:p>
      <w:pPr>
        <w:spacing w:after="100"/>
        <w:jc w:val="both"/>
      </w:pPr>
      <w:r>
        <w:rPr>
          <w:color w:val="404040"/>
          <w:sz w:val="22"/>
          <w:szCs w:val="22"/>
        </w:rPr>
        <w:t xml:space="preserve">La clasificación se construye a partir de la tasa de ocupación:</w:t>
      </w:r>
    </w:p>
    <w:p>
      <w:pPr>
        <w:shd w:fill="F2F2F2" w:val="clear"/>
        <w:spacing w:after="80" w:before="80"/>
        <w:ind w:left="360"/>
      </w:pPr>
      <w:r>
        <w:rPr>
          <w:rFonts w:ascii="Courier New" w:cs="Courier New" w:eastAsia="Courier New" w:hAnsi="Courier New"/>
          <w:color w:val="404040"/>
          <w:sz w:val="22"/>
          <w:szCs w:val="22"/>
        </w:rPr>
        <w:t xml:space="preserve">ocupación = validaciones_entrada / (frecuencia_buses × 150)</w:t>
      </w:r>
    </w:p>
    <w:p>
      <w:pPr>
        <w:spacing w:after="60"/>
      </w:pPr>
    </w:p>
    <w:tbl>
      <w:tblPr>
        <w:tblW w:type="dxa" w:w="8300"/>
        <w:tblBorders>
          <w:top w:val="single" w:color="AAAAAA" w:sz="4"/>
          <w:left w:val="single" w:color="AAAAAA" w:sz="4"/>
          <w:bottom w:val="single" w:color="AAAAAA" w:sz="4"/>
          <w:right w:val="single" w:color="AAAAAA" w:sz="4"/>
          <w:insideH w:val="single" w:color="CCCCCC" w:sz="4"/>
          <w:insideV w:val="single" w:color="CCCCCC" w:sz="4"/>
        </w:tblBorders>
      </w:tblPr>
      <w:tblGrid>
        <w:gridCol w:w="2500"/>
        <w:gridCol w:w="1800"/>
        <w:gridCol w:w="2000"/>
        <w:gridCol w:w="2000"/>
      </w:tblGrid>
      <w:tr>
        <w:trPr>
          <w:tblHeader/>
        </w:trPr>
        <w:tc>
          <w:tcPr>
            <w:tcW w:type="dxa" w:w="2500"/>
            <w:shd w:fill="1F3864" w:color="auto" w:val="clear"/>
            <w:tcMar>
              <w:top w:type="dxa" w:w="60"/>
              <w:left w:type="dxa" w:w="80"/>
              <w:bottom w:type="dxa" w:w="60"/>
              <w:right w:type="dxa" w:w="80"/>
            </w:tcMar>
            <w:vAlign w:val="center"/>
          </w:tcPr>
          <w:p>
            <w:pPr>
              <w:spacing w:after="60" w:before="60"/>
              <w:jc w:val="center"/>
            </w:pPr>
            <w:r>
              <w:rPr>
                <w:b/>
                <w:bCs/>
                <w:color w:val="FFFFFF"/>
                <w:sz w:val="20"/>
                <w:szCs w:val="20"/>
              </w:rPr>
              <w:t xml:space="preserve">Clase</w:t>
            </w:r>
          </w:p>
        </w:tc>
        <w:tc>
          <w:tcPr>
            <w:tcW w:type="dxa" w:w="1800"/>
            <w:shd w:fill="1F3864" w:color="auto" w:val="clear"/>
            <w:tcMar>
              <w:top w:type="dxa" w:w="60"/>
              <w:left w:type="dxa" w:w="80"/>
              <w:bottom w:type="dxa" w:w="60"/>
              <w:right w:type="dxa" w:w="80"/>
            </w:tcMar>
            <w:vAlign w:val="center"/>
          </w:tcPr>
          <w:p>
            <w:pPr>
              <w:spacing w:after="60" w:before="60"/>
              <w:jc w:val="center"/>
            </w:pPr>
            <w:r>
              <w:rPr>
                <w:b/>
                <w:bCs/>
                <w:color w:val="FFFFFF"/>
                <w:sz w:val="20"/>
                <w:szCs w:val="20"/>
              </w:rPr>
              <w:t xml:space="preserve">Registros</w:t>
            </w:r>
          </w:p>
        </w:tc>
        <w:tc>
          <w:tcPr>
            <w:tcW w:type="dxa" w:w="2000"/>
            <w:shd w:fill="1F3864" w:color="auto" w:val="clear"/>
            <w:tcMar>
              <w:top w:type="dxa" w:w="60"/>
              <w:left w:type="dxa" w:w="80"/>
              <w:bottom w:type="dxa" w:w="60"/>
              <w:right w:type="dxa" w:w="80"/>
            </w:tcMar>
            <w:vAlign w:val="center"/>
          </w:tcPr>
          <w:p>
            <w:pPr>
              <w:spacing w:after="60" w:before="60"/>
              <w:jc w:val="center"/>
            </w:pPr>
            <w:r>
              <w:rPr>
                <w:b/>
                <w:bCs/>
                <w:color w:val="FFFFFF"/>
                <w:sz w:val="20"/>
                <w:szCs w:val="20"/>
              </w:rPr>
              <w:t xml:space="preserve">Porcentaje</w:t>
            </w:r>
          </w:p>
        </w:tc>
        <w:tc>
          <w:tcPr>
            <w:tcW w:type="dxa" w:w="2000"/>
            <w:shd w:fill="1F3864" w:color="auto" w:val="clear"/>
            <w:tcMar>
              <w:top w:type="dxa" w:w="60"/>
              <w:left w:type="dxa" w:w="80"/>
              <w:bottom w:type="dxa" w:w="60"/>
              <w:right w:type="dxa" w:w="80"/>
            </w:tcMar>
            <w:vAlign w:val="center"/>
          </w:tcPr>
          <w:p>
            <w:pPr>
              <w:spacing w:after="60" w:before="60"/>
              <w:jc w:val="center"/>
            </w:pPr>
            <w:r>
              <w:rPr>
                <w:b/>
                <w:bCs/>
                <w:color w:val="FFFFFF"/>
                <w:sz w:val="20"/>
                <w:szCs w:val="20"/>
              </w:rPr>
              <w:t xml:space="preserve">Condición</w:t>
            </w:r>
          </w:p>
        </w:tc>
      </w:tr>
      <w:tr>
        <w:tc>
          <w:tcPr>
            <w:tcW w:type="dxa" w:w="2500"/>
            <w:shd w:fill="FFFFFF" w:color="auto" w:val="clear"/>
            <w:tcMar>
              <w:top w:type="dxa" w:w="40"/>
              <w:left w:type="dxa" w:w="80"/>
              <w:bottom w:type="dxa" w:w="40"/>
              <w:right w:type="dxa" w:w="80"/>
            </w:tcMar>
            <w:vAlign w:val="center"/>
          </w:tcPr>
          <w:p>
            <w:pPr>
              <w:spacing w:after="40" w:before="40"/>
              <w:jc w:val="left"/>
            </w:pPr>
            <w:r>
              <w:rPr>
                <w:color w:val="404040"/>
                <w:sz w:val="20"/>
                <w:szCs w:val="20"/>
              </w:rPr>
              <w:t xml:space="preserve">Bajo</w:t>
            </w:r>
          </w:p>
        </w:tc>
        <w:tc>
          <w:tcPr>
            <w:tcW w:type="dxa" w:w="1800"/>
            <w:shd w:fill="FFFFFF" w:color="auto" w:val="clear"/>
            <w:tcMar>
              <w:top w:type="dxa" w:w="40"/>
              <w:left w:type="dxa" w:w="80"/>
              <w:bottom w:type="dxa" w:w="40"/>
              <w:right w:type="dxa" w:w="80"/>
            </w:tcMar>
            <w:vAlign w:val="center"/>
          </w:tcPr>
          <w:p>
            <w:pPr>
              <w:spacing w:after="40" w:before="40"/>
              <w:jc w:val="center"/>
            </w:pPr>
            <w:r>
              <w:rPr>
                <w:color w:val="404040"/>
                <w:sz w:val="20"/>
                <w:szCs w:val="20"/>
              </w:rPr>
              <w:t xml:space="preserve">133</w:t>
            </w:r>
          </w:p>
        </w:tc>
        <w:tc>
          <w:tcPr>
            <w:tcW w:type="dxa" w:w="2000"/>
            <w:shd w:fill="FFFFFF" w:color="auto" w:val="clear"/>
            <w:tcMar>
              <w:top w:type="dxa" w:w="40"/>
              <w:left w:type="dxa" w:w="80"/>
              <w:bottom w:type="dxa" w:w="40"/>
              <w:right w:type="dxa" w:w="80"/>
            </w:tcMar>
            <w:vAlign w:val="center"/>
          </w:tcPr>
          <w:p>
            <w:pPr>
              <w:spacing w:after="40" w:before="40"/>
              <w:jc w:val="center"/>
            </w:pPr>
            <w:r>
              <w:rPr>
                <w:color w:val="404040"/>
                <w:sz w:val="20"/>
                <w:szCs w:val="20"/>
              </w:rPr>
              <w:t xml:space="preserve">55.4 %</w:t>
            </w:r>
          </w:p>
        </w:tc>
        <w:tc>
          <w:tcPr>
            <w:tcW w:type="dxa" w:w="2000"/>
            <w:shd w:fill="FFFFFF" w:color="auto" w:val="clear"/>
            <w:tcMar>
              <w:top w:type="dxa" w:w="40"/>
              <w:left w:type="dxa" w:w="80"/>
              <w:bottom w:type="dxa" w:w="40"/>
              <w:right w:type="dxa" w:w="80"/>
            </w:tcMar>
            <w:vAlign w:val="center"/>
          </w:tcPr>
          <w:p>
            <w:pPr>
              <w:spacing w:after="40" w:before="40"/>
              <w:jc w:val="left"/>
            </w:pPr>
            <w:r>
              <w:rPr>
                <w:color w:val="404040"/>
                <w:sz w:val="20"/>
                <w:szCs w:val="20"/>
              </w:rPr>
              <w:t xml:space="preserve">Ocupación &lt; 45 %</w:t>
            </w:r>
          </w:p>
        </w:tc>
      </w:tr>
      <w:tr>
        <w:tc>
          <w:tcPr>
            <w:tcW w:type="dxa" w:w="2500"/>
            <w:shd w:fill="D9E1F2" w:color="auto" w:val="clear"/>
            <w:tcMar>
              <w:top w:type="dxa" w:w="40"/>
              <w:left w:type="dxa" w:w="80"/>
              <w:bottom w:type="dxa" w:w="40"/>
              <w:right w:type="dxa" w:w="80"/>
            </w:tcMar>
            <w:vAlign w:val="center"/>
          </w:tcPr>
          <w:p>
            <w:pPr>
              <w:spacing w:after="40" w:before="40"/>
              <w:jc w:val="left"/>
            </w:pPr>
            <w:r>
              <w:rPr>
                <w:color w:val="404040"/>
                <w:sz w:val="20"/>
                <w:szCs w:val="20"/>
              </w:rPr>
              <w:t xml:space="preserve">Medio</w:t>
            </w:r>
          </w:p>
        </w:tc>
        <w:tc>
          <w:tcPr>
            <w:tcW w:type="dxa" w:w="1800"/>
            <w:shd w:fill="D9E1F2" w:color="auto" w:val="clear"/>
            <w:tcMar>
              <w:top w:type="dxa" w:w="40"/>
              <w:left w:type="dxa" w:w="80"/>
              <w:bottom w:type="dxa" w:w="40"/>
              <w:right w:type="dxa" w:w="80"/>
            </w:tcMar>
            <w:vAlign w:val="center"/>
          </w:tcPr>
          <w:p>
            <w:pPr>
              <w:spacing w:after="40" w:before="40"/>
              <w:jc w:val="center"/>
            </w:pPr>
            <w:r>
              <w:rPr>
                <w:color w:val="404040"/>
                <w:sz w:val="20"/>
                <w:szCs w:val="20"/>
              </w:rPr>
              <w:t xml:space="preserve">72</w:t>
            </w:r>
          </w:p>
        </w:tc>
        <w:tc>
          <w:tcPr>
            <w:tcW w:type="dxa" w:w="2000"/>
            <w:shd w:fill="D9E1F2" w:color="auto" w:val="clear"/>
            <w:tcMar>
              <w:top w:type="dxa" w:w="40"/>
              <w:left w:type="dxa" w:w="80"/>
              <w:bottom w:type="dxa" w:w="40"/>
              <w:right w:type="dxa" w:w="80"/>
            </w:tcMar>
            <w:vAlign w:val="center"/>
          </w:tcPr>
          <w:p>
            <w:pPr>
              <w:spacing w:after="40" w:before="40"/>
              <w:jc w:val="center"/>
            </w:pPr>
            <w:r>
              <w:rPr>
                <w:color w:val="404040"/>
                <w:sz w:val="20"/>
                <w:szCs w:val="20"/>
              </w:rPr>
              <w:t xml:space="preserve">30.0 %</w:t>
            </w:r>
          </w:p>
        </w:tc>
        <w:tc>
          <w:tcPr>
            <w:tcW w:type="dxa" w:w="2000"/>
            <w:shd w:fill="D9E1F2" w:color="auto" w:val="clear"/>
            <w:tcMar>
              <w:top w:type="dxa" w:w="40"/>
              <w:left w:type="dxa" w:w="80"/>
              <w:bottom w:type="dxa" w:w="40"/>
              <w:right w:type="dxa" w:w="80"/>
            </w:tcMar>
            <w:vAlign w:val="center"/>
          </w:tcPr>
          <w:p>
            <w:pPr>
              <w:spacing w:after="40" w:before="40"/>
              <w:jc w:val="left"/>
            </w:pPr>
            <w:r>
              <w:rPr>
                <w:color w:val="404040"/>
                <w:sz w:val="20"/>
                <w:szCs w:val="20"/>
              </w:rPr>
              <w:t xml:space="preserve">45 % ≤ ocupación &lt; 70 %</w:t>
            </w:r>
          </w:p>
        </w:tc>
      </w:tr>
      <w:tr>
        <w:tc>
          <w:tcPr>
            <w:tcW w:type="dxa" w:w="2500"/>
            <w:shd w:fill="FFFFFF" w:color="auto" w:val="clear"/>
            <w:tcMar>
              <w:top w:type="dxa" w:w="40"/>
              <w:left w:type="dxa" w:w="80"/>
              <w:bottom w:type="dxa" w:w="40"/>
              <w:right w:type="dxa" w:w="80"/>
            </w:tcMar>
            <w:vAlign w:val="center"/>
          </w:tcPr>
          <w:p>
            <w:pPr>
              <w:spacing w:after="40" w:before="40"/>
              <w:jc w:val="left"/>
            </w:pPr>
            <w:r>
              <w:rPr>
                <w:color w:val="404040"/>
                <w:sz w:val="20"/>
                <w:szCs w:val="20"/>
              </w:rPr>
              <w:t xml:space="preserve">Alto</w:t>
            </w:r>
          </w:p>
        </w:tc>
        <w:tc>
          <w:tcPr>
            <w:tcW w:type="dxa" w:w="1800"/>
            <w:shd w:fill="FFFFFF" w:color="auto" w:val="clear"/>
            <w:tcMar>
              <w:top w:type="dxa" w:w="40"/>
              <w:left w:type="dxa" w:w="80"/>
              <w:bottom w:type="dxa" w:w="40"/>
              <w:right w:type="dxa" w:w="80"/>
            </w:tcMar>
            <w:vAlign w:val="center"/>
          </w:tcPr>
          <w:p>
            <w:pPr>
              <w:spacing w:after="40" w:before="40"/>
              <w:jc w:val="center"/>
            </w:pPr>
            <w:r>
              <w:rPr>
                <w:color w:val="404040"/>
                <w:sz w:val="20"/>
                <w:szCs w:val="20"/>
              </w:rPr>
              <w:t xml:space="preserve">24</w:t>
            </w:r>
          </w:p>
        </w:tc>
        <w:tc>
          <w:tcPr>
            <w:tcW w:type="dxa" w:w="2000"/>
            <w:shd w:fill="FFFFFF" w:color="auto" w:val="clear"/>
            <w:tcMar>
              <w:top w:type="dxa" w:w="40"/>
              <w:left w:type="dxa" w:w="80"/>
              <w:bottom w:type="dxa" w:w="40"/>
              <w:right w:type="dxa" w:w="80"/>
            </w:tcMar>
            <w:vAlign w:val="center"/>
          </w:tcPr>
          <w:p>
            <w:pPr>
              <w:spacing w:after="40" w:before="40"/>
              <w:jc w:val="center"/>
            </w:pPr>
            <w:r>
              <w:rPr>
                <w:color w:val="404040"/>
                <w:sz w:val="20"/>
                <w:szCs w:val="20"/>
              </w:rPr>
              <w:t xml:space="preserve">10.0 %</w:t>
            </w:r>
          </w:p>
        </w:tc>
        <w:tc>
          <w:tcPr>
            <w:tcW w:type="dxa" w:w="2000"/>
            <w:shd w:fill="FFFFFF" w:color="auto" w:val="clear"/>
            <w:tcMar>
              <w:top w:type="dxa" w:w="40"/>
              <w:left w:type="dxa" w:w="80"/>
              <w:bottom w:type="dxa" w:w="40"/>
              <w:right w:type="dxa" w:w="80"/>
            </w:tcMar>
            <w:vAlign w:val="center"/>
          </w:tcPr>
          <w:p>
            <w:pPr>
              <w:spacing w:after="40" w:before="40"/>
              <w:jc w:val="left"/>
            </w:pPr>
            <w:r>
              <w:rPr>
                <w:color w:val="404040"/>
                <w:sz w:val="20"/>
                <w:szCs w:val="20"/>
              </w:rPr>
              <w:t xml:space="preserve">70 % ≤ ocupación &lt; 90 %</w:t>
            </w:r>
          </w:p>
        </w:tc>
      </w:tr>
      <w:tr>
        <w:tc>
          <w:tcPr>
            <w:tcW w:type="dxa" w:w="2500"/>
            <w:shd w:fill="D9E1F2" w:color="auto" w:val="clear"/>
            <w:tcMar>
              <w:top w:type="dxa" w:w="40"/>
              <w:left w:type="dxa" w:w="80"/>
              <w:bottom w:type="dxa" w:w="40"/>
              <w:right w:type="dxa" w:w="80"/>
            </w:tcMar>
            <w:vAlign w:val="center"/>
          </w:tcPr>
          <w:p>
            <w:pPr>
              <w:spacing w:after="40" w:before="40"/>
              <w:jc w:val="left"/>
            </w:pPr>
            <w:r>
              <w:rPr>
                <w:color w:val="404040"/>
                <w:sz w:val="20"/>
                <w:szCs w:val="20"/>
              </w:rPr>
              <w:t xml:space="preserve">Crítico</w:t>
            </w:r>
          </w:p>
        </w:tc>
        <w:tc>
          <w:tcPr>
            <w:tcW w:type="dxa" w:w="1800"/>
            <w:shd w:fill="D9E1F2" w:color="auto" w:val="clear"/>
            <w:tcMar>
              <w:top w:type="dxa" w:w="40"/>
              <w:left w:type="dxa" w:w="80"/>
              <w:bottom w:type="dxa" w:w="40"/>
              <w:right w:type="dxa" w:w="80"/>
            </w:tcMar>
            <w:vAlign w:val="center"/>
          </w:tcPr>
          <w:p>
            <w:pPr>
              <w:spacing w:after="40" w:before="40"/>
              <w:jc w:val="center"/>
            </w:pPr>
            <w:r>
              <w:rPr>
                <w:color w:val="404040"/>
                <w:sz w:val="20"/>
                <w:szCs w:val="20"/>
              </w:rPr>
              <w:t xml:space="preserve">11</w:t>
            </w:r>
          </w:p>
        </w:tc>
        <w:tc>
          <w:tcPr>
            <w:tcW w:type="dxa" w:w="2000"/>
            <w:shd w:fill="D9E1F2" w:color="auto" w:val="clear"/>
            <w:tcMar>
              <w:top w:type="dxa" w:w="40"/>
              <w:left w:type="dxa" w:w="80"/>
              <w:bottom w:type="dxa" w:w="40"/>
              <w:right w:type="dxa" w:w="80"/>
            </w:tcMar>
            <w:vAlign w:val="center"/>
          </w:tcPr>
          <w:p>
            <w:pPr>
              <w:spacing w:after="40" w:before="40"/>
              <w:jc w:val="center"/>
            </w:pPr>
            <w:r>
              <w:rPr>
                <w:color w:val="404040"/>
                <w:sz w:val="20"/>
                <w:szCs w:val="20"/>
              </w:rPr>
              <w:t xml:space="preserve">4.6 %</w:t>
            </w:r>
          </w:p>
        </w:tc>
        <w:tc>
          <w:tcPr>
            <w:tcW w:type="dxa" w:w="2000"/>
            <w:shd w:fill="D9E1F2" w:color="auto" w:val="clear"/>
            <w:tcMar>
              <w:top w:type="dxa" w:w="40"/>
              <w:left w:type="dxa" w:w="80"/>
              <w:bottom w:type="dxa" w:w="40"/>
              <w:right w:type="dxa" w:w="80"/>
            </w:tcMar>
            <w:vAlign w:val="center"/>
          </w:tcPr>
          <w:p>
            <w:pPr>
              <w:spacing w:after="40" w:before="40"/>
              <w:jc w:val="left"/>
            </w:pPr>
            <w:r>
              <w:rPr>
                <w:color w:val="404040"/>
                <w:sz w:val="20"/>
                <w:szCs w:val="20"/>
              </w:rPr>
              <w:t xml:space="preserve">Ocupación ≥ 90 %</w:t>
            </w:r>
          </w:p>
        </w:tc>
      </w:tr>
    </w:tbl>
    <w:p>
      <w:pPr>
        <w:spacing w:after="60"/>
      </w:pPr>
    </w:p>
    <w:p>
      <w:pPr>
        <w:spacing w:after="100"/>
        <w:jc w:val="both"/>
      </w:pPr>
      <w:r>
        <w:rPr>
          <w:color w:val="404040"/>
          <w:sz w:val="22"/>
          <w:szCs w:val="22"/>
        </w:rPr>
        <w:t xml:space="preserve">El conjunto de datos presenta un desbalance de clases propio del fenómeno real: la condición Bajo es la más frecuente (55.4 %), mientras que Crítico es poco frecuente (4.6 %), lo cual refleja que la saturación extrema ocurre solo en condiciones particulares.</w:t>
      </w:r>
    </w:p>
    <w:p>
      <w:pPr>
        <w:pStyle w:val="Heading1"/>
        <w:pBdr>
          <w:bottom w:val="single" w:color="1F3864" w:sz="6"/>
        </w:pBdr>
        <w:spacing w:after="120" w:before="300"/>
      </w:pPr>
      <w:r>
        <w:t xml:space="preserve">5. Partición y Uso del Dataset</w:t>
      </w:r>
    </w:p>
    <w:p>
      <w:pPr>
        <w:spacing w:after="80"/>
      </w:pPr>
      <w:r>
        <w:rPr>
          <w:b/>
          <w:bCs/>
          <w:color w:val="000000"/>
          <w:sz w:val="22"/>
          <w:szCs w:val="22"/>
        </w:rPr>
        <w:t xml:space="preserve">División: </w:t>
      </w:r>
      <w:r>
        <w:rPr>
          <w:color w:val="404040"/>
          <w:sz w:val="22"/>
          <w:szCs w:val="22"/>
        </w:rPr>
        <w:t xml:space="preserve">80 % entrenamiento / 20 % evaluación</w:t>
      </w:r>
    </w:p>
    <w:p>
      <w:pPr>
        <w:spacing w:after="80"/>
      </w:pPr>
      <w:r>
        <w:rPr>
          <w:b/>
          <w:bCs/>
          <w:color w:val="000000"/>
          <w:sz w:val="22"/>
          <w:szCs w:val="22"/>
        </w:rPr>
        <w:t xml:space="preserve">Registros de entrenamiento: </w:t>
      </w:r>
      <w:r>
        <w:rPr>
          <w:color w:val="404040"/>
          <w:sz w:val="22"/>
          <w:szCs w:val="22"/>
        </w:rPr>
        <w:t xml:space="preserve">192 registros</w:t>
      </w:r>
    </w:p>
    <w:p>
      <w:pPr>
        <w:spacing w:after="80"/>
      </w:pPr>
      <w:r>
        <w:rPr>
          <w:b/>
          <w:bCs/>
          <w:color w:val="000000"/>
          <w:sz w:val="22"/>
          <w:szCs w:val="22"/>
        </w:rPr>
        <w:t xml:space="preserve">Registros de prueba: </w:t>
      </w:r>
      <w:r>
        <w:rPr>
          <w:color w:val="404040"/>
          <w:sz w:val="22"/>
          <w:szCs w:val="22"/>
        </w:rPr>
        <w:t xml:space="preserve">48 registros</w:t>
      </w:r>
    </w:p>
    <w:p>
      <w:pPr>
        <w:spacing w:after="80"/>
      </w:pPr>
      <w:r>
        <w:rPr>
          <w:b/>
          <w:bCs/>
          <w:color w:val="000000"/>
          <w:sz w:val="22"/>
          <w:szCs w:val="22"/>
        </w:rPr>
        <w:t xml:space="preserve">Estratificación: </w:t>
      </w:r>
      <w:r>
        <w:rPr>
          <w:color w:val="404040"/>
          <w:sz w:val="22"/>
          <w:szCs w:val="22"/>
        </w:rPr>
        <w:t xml:space="preserve">Sí (proporción de clases preservada en ambas particiones)</w:t>
      </w:r>
    </w:p>
    <w:p>
      <w:pPr>
        <w:spacing w:after="80"/>
      </w:pPr>
      <w:r>
        <w:rPr>
          <w:b/>
          <w:bCs/>
          <w:color w:val="000000"/>
          <w:sz w:val="22"/>
          <w:szCs w:val="22"/>
        </w:rPr>
        <w:t xml:space="preserve">Semilla aleatoria: </w:t>
      </w:r>
      <w:r>
        <w:rPr>
          <w:color w:val="404040"/>
          <w:sz w:val="22"/>
          <w:szCs w:val="22"/>
        </w:rPr>
        <w:t xml:space="preserve">42 (reproducibilidad garantizada)</w:t>
      </w:r>
    </w:p>
    <w:p>
      <w:pPr>
        <w:spacing w:after="60"/>
      </w:pPr>
    </w:p>
    <w:p>
      <w:pPr>
        <w:spacing w:after="100"/>
        <w:jc w:val="both"/>
      </w:pPr>
      <w:r>
        <w:rPr>
          <w:color w:val="404040"/>
          <w:sz w:val="22"/>
          <w:szCs w:val="22"/>
        </w:rPr>
        <w:t xml:space="preserve">La estratificación asegura que la distribución de las cuatro clases objetivo se mantenga en los conjuntos de entrenamiento y prueba, mitigando el efecto del desbalance de clases en la evaluación del modelo.</w:t>
      </w:r>
    </w:p>
    <w:p>
      <w:pPr>
        <w:pStyle w:val="Heading1"/>
        <w:pBdr>
          <w:bottom w:val="single" w:color="1F3864" w:sz="6"/>
        </w:pBdr>
        <w:spacing w:after="120" w:before="300"/>
      </w:pPr>
      <w:r>
        <w:t xml:space="preserve">6. Preprocesamiento Aplicado</w:t>
      </w:r>
    </w:p>
    <w:p>
      <w:pPr>
        <w:pStyle w:val="Heading2"/>
        <w:spacing w:after="80" w:before="240"/>
      </w:pPr>
      <w:r>
        <w:t xml:space="preserve">6.1 Codificación de variables categóricas</w:t>
      </w:r>
    </w:p>
    <w:p>
      <w:pPr>
        <w:spacing w:after="100"/>
        <w:jc w:val="both"/>
      </w:pPr>
      <w:r>
        <w:rPr>
          <w:color w:val="404040"/>
          <w:sz w:val="22"/>
          <w:szCs w:val="22"/>
        </w:rPr>
        <w:t xml:space="preserve">Todas las variables predictoras categóricas se codifican mediante LabelEncoder de scikit-learn, que asigna un entero único a cada categoría. La variable objetivo nivel_ocupacion se codifica con el orden semántico explícito: Bajo=0, Medio=1, Alto=2, Crítico=3.</w:t>
      </w:r>
    </w:p>
    <w:p>
      <w:pPr>
        <w:pStyle w:val="Heading2"/>
        <w:spacing w:after="80" w:before="240"/>
      </w:pPr>
      <w:r>
        <w:t xml:space="preserve">6.2 Valores faltantes</w:t>
      </w:r>
    </w:p>
    <w:p>
      <w:pPr>
        <w:spacing w:after="100"/>
        <w:jc w:val="both"/>
      </w:pPr>
      <w:r>
        <w:rPr>
          <w:color w:val="404040"/>
          <w:sz w:val="22"/>
          <w:szCs w:val="22"/>
        </w:rPr>
        <w:t xml:space="preserve">El campo lluvia en el dataset de entrenamiento no presenta valores faltantes. En el dataset extendido de generación, el campo lluvia_mm (precipitación continua en mm/h) presentaba aproximadamente 0.5 % de valores faltantes, imputados con la mediana del campo.</w:t>
      </w:r>
    </w:p>
    <w:p>
      <w:pPr>
        <w:pStyle w:val="Heading2"/>
        <w:spacing w:after="80" w:before="240"/>
      </w:pPr>
      <w:r>
        <w:t xml:space="preserve">6.3 Normalización</w:t>
      </w:r>
    </w:p>
    <w:p>
      <w:pPr>
        <w:spacing w:after="100"/>
        <w:jc w:val="both"/>
      </w:pPr>
      <w:r>
        <w:rPr>
          <w:color w:val="404040"/>
          <w:sz w:val="22"/>
          <w:szCs w:val="22"/>
        </w:rPr>
        <w:t xml:space="preserve">No se aplicó normalización ni estandarización, dado que el Árbol de Decisión es un modelo invariante a la escala de las variables. Las variables numéricas se usan en su escala original.</w:t>
      </w:r>
    </w:p>
    <w:p>
      <w:pPr>
        <w:pStyle w:val="Heading1"/>
        <w:pBdr>
          <w:bottom w:val="single" w:color="1F3864" w:sz="6"/>
        </w:pBdr>
        <w:spacing w:after="120" w:before="300"/>
      </w:pPr>
      <w:r>
        <w:t xml:space="preserve">7. Importancia de las Variables Predictoras</w:t>
      </w:r>
    </w:p>
    <w:p>
      <w:pPr>
        <w:spacing w:after="100"/>
        <w:jc w:val="both"/>
      </w:pPr>
      <w:r>
        <w:rPr>
          <w:color w:val="404040"/>
          <w:sz w:val="22"/>
          <w:szCs w:val="22"/>
        </w:rPr>
        <w:t xml:space="preserve">El modelo entrenado asignó los siguientes pesos a las variables predictoras, medidos por la reducción de impureza (entropía) en los nodos del árbol:</w:t>
      </w:r>
    </w:p>
    <w:p>
      <w:pPr>
        <w:spacing w:after="60"/>
      </w:pPr>
    </w:p>
    <w:tbl>
      <w:tblPr>
        <w:tblW w:type="dxa" w:w="8300"/>
        <w:tblBorders>
          <w:top w:val="single" w:color="AAAAAA" w:sz="4"/>
          <w:left w:val="single" w:color="AAAAAA" w:sz="4"/>
          <w:bottom w:val="single" w:color="AAAAAA" w:sz="4"/>
          <w:right w:val="single" w:color="AAAAAA" w:sz="4"/>
          <w:insideH w:val="single" w:color="CCCCCC" w:sz="4"/>
          <w:insideV w:val="single" w:color="CCCCCC" w:sz="4"/>
        </w:tblBorders>
      </w:tblPr>
      <w:tblGrid>
        <w:gridCol w:w="2500"/>
        <w:gridCol w:w="2000"/>
        <w:gridCol w:w="3800"/>
      </w:tblGrid>
      <w:tr>
        <w:trPr>
          <w:tblHeader/>
        </w:trPr>
        <w:tc>
          <w:tcPr>
            <w:tcW w:type="dxa" w:w="2500"/>
            <w:shd w:fill="1F3864" w:color="auto" w:val="clear"/>
            <w:tcMar>
              <w:top w:type="dxa" w:w="60"/>
              <w:left w:type="dxa" w:w="80"/>
              <w:bottom w:type="dxa" w:w="60"/>
              <w:right w:type="dxa" w:w="80"/>
            </w:tcMar>
            <w:vAlign w:val="center"/>
          </w:tcPr>
          <w:p>
            <w:pPr>
              <w:spacing w:after="60" w:before="60"/>
              <w:jc w:val="center"/>
            </w:pPr>
            <w:r>
              <w:rPr>
                <w:b/>
                <w:bCs/>
                <w:color w:val="FFFFFF"/>
                <w:sz w:val="20"/>
                <w:szCs w:val="20"/>
              </w:rPr>
              <w:t xml:space="preserve">Variable</w:t>
            </w:r>
          </w:p>
        </w:tc>
        <w:tc>
          <w:tcPr>
            <w:tcW w:type="dxa" w:w="2000"/>
            <w:shd w:fill="1F3864" w:color="auto" w:val="clear"/>
            <w:tcMar>
              <w:top w:type="dxa" w:w="60"/>
              <w:left w:type="dxa" w:w="80"/>
              <w:bottom w:type="dxa" w:w="60"/>
              <w:right w:type="dxa" w:w="80"/>
            </w:tcMar>
            <w:vAlign w:val="center"/>
          </w:tcPr>
          <w:p>
            <w:pPr>
              <w:spacing w:after="60" w:before="60"/>
              <w:jc w:val="center"/>
            </w:pPr>
            <w:r>
              <w:rPr>
                <w:b/>
                <w:bCs/>
                <w:color w:val="FFFFFF"/>
                <w:sz w:val="20"/>
                <w:szCs w:val="20"/>
              </w:rPr>
              <w:t xml:space="preserve">Importancia</w:t>
            </w:r>
          </w:p>
        </w:tc>
        <w:tc>
          <w:tcPr>
            <w:tcW w:type="dxa" w:w="3800"/>
            <w:shd w:fill="1F3864" w:color="auto" w:val="clear"/>
            <w:tcMar>
              <w:top w:type="dxa" w:w="60"/>
              <w:left w:type="dxa" w:w="80"/>
              <w:bottom w:type="dxa" w:w="60"/>
              <w:right w:type="dxa" w:w="80"/>
            </w:tcMar>
            <w:vAlign w:val="center"/>
          </w:tcPr>
          <w:p>
            <w:pPr>
              <w:spacing w:after="60" w:before="60"/>
              <w:jc w:val="center"/>
            </w:pPr>
            <w:r>
              <w:rPr>
                <w:b/>
                <w:bCs/>
                <w:color w:val="FFFFFF"/>
                <w:sz w:val="20"/>
                <w:szCs w:val="20"/>
              </w:rPr>
              <w:t xml:space="preserve">Interpretación</w:t>
            </w:r>
          </w:p>
        </w:tc>
      </w:tr>
      <w:tr>
        <w:tc>
          <w:tcPr>
            <w:tcW w:type="dxa" w:w="2500"/>
            <w:shd w:fill="FFFFFF" w:color="auto" w:val="clear"/>
            <w:tcMar>
              <w:top w:type="dxa" w:w="40"/>
              <w:left w:type="dxa" w:w="80"/>
              <w:bottom w:type="dxa" w:w="40"/>
              <w:right w:type="dxa" w:w="80"/>
            </w:tcMar>
            <w:vAlign w:val="center"/>
          </w:tcPr>
          <w:p>
            <w:pPr>
              <w:spacing w:after="40" w:before="40"/>
              <w:jc w:val="left"/>
            </w:pPr>
            <w:r>
              <w:rPr>
                <w:color w:val="404040"/>
                <w:sz w:val="20"/>
                <w:szCs w:val="20"/>
              </w:rPr>
              <w:t xml:space="preserve">franja</w:t>
            </w:r>
          </w:p>
        </w:tc>
        <w:tc>
          <w:tcPr>
            <w:tcW w:type="dxa" w:w="2000"/>
            <w:shd w:fill="FFFFFF" w:color="auto" w:val="clear"/>
            <w:tcMar>
              <w:top w:type="dxa" w:w="40"/>
              <w:left w:type="dxa" w:w="80"/>
              <w:bottom w:type="dxa" w:w="40"/>
              <w:right w:type="dxa" w:w="80"/>
            </w:tcMar>
            <w:vAlign w:val="center"/>
          </w:tcPr>
          <w:p>
            <w:pPr>
              <w:spacing w:after="40" w:before="40"/>
              <w:jc w:val="center"/>
            </w:pPr>
            <w:r>
              <w:rPr>
                <w:color w:val="404040"/>
                <w:sz w:val="20"/>
                <w:szCs w:val="20"/>
              </w:rPr>
              <w:t xml:space="preserve">0.4844 (48.4 %)</w:t>
            </w:r>
          </w:p>
        </w:tc>
        <w:tc>
          <w:tcPr>
            <w:tcW w:type="dxa" w:w="3800"/>
            <w:shd w:fill="FFFFFF" w:color="auto" w:val="clear"/>
            <w:tcMar>
              <w:top w:type="dxa" w:w="40"/>
              <w:left w:type="dxa" w:w="80"/>
              <w:bottom w:type="dxa" w:w="40"/>
              <w:right w:type="dxa" w:w="80"/>
            </w:tcMar>
            <w:vAlign w:val="center"/>
          </w:tcPr>
          <w:p>
            <w:pPr>
              <w:spacing w:after="40" w:before="40"/>
              <w:jc w:val="left"/>
            </w:pPr>
            <w:r>
              <w:rPr>
                <w:color w:val="404040"/>
                <w:sz w:val="20"/>
                <w:szCs w:val="20"/>
              </w:rPr>
              <w:t xml:space="preserve">Mayor ganancia de información en el análisis ID3 (0.4064 bits)</w:t>
            </w:r>
          </w:p>
        </w:tc>
      </w:tr>
      <w:tr>
        <w:tc>
          <w:tcPr>
            <w:tcW w:type="dxa" w:w="2500"/>
            <w:shd w:fill="D9E1F2" w:color="auto" w:val="clear"/>
            <w:tcMar>
              <w:top w:type="dxa" w:w="40"/>
              <w:left w:type="dxa" w:w="80"/>
              <w:bottom w:type="dxa" w:w="40"/>
              <w:right w:type="dxa" w:w="80"/>
            </w:tcMar>
            <w:vAlign w:val="center"/>
          </w:tcPr>
          <w:p>
            <w:pPr>
              <w:spacing w:after="40" w:before="40"/>
              <w:jc w:val="left"/>
            </w:pPr>
            <w:r>
              <w:rPr>
                <w:color w:val="404040"/>
                <w:sz w:val="20"/>
                <w:szCs w:val="20"/>
              </w:rPr>
              <w:t xml:space="preserve">tipo_dia</w:t>
            </w:r>
          </w:p>
        </w:tc>
        <w:tc>
          <w:tcPr>
            <w:tcW w:type="dxa" w:w="2000"/>
            <w:shd w:fill="D9E1F2" w:color="auto" w:val="clear"/>
            <w:tcMar>
              <w:top w:type="dxa" w:w="40"/>
              <w:left w:type="dxa" w:w="80"/>
              <w:bottom w:type="dxa" w:w="40"/>
              <w:right w:type="dxa" w:w="80"/>
            </w:tcMar>
            <w:vAlign w:val="center"/>
          </w:tcPr>
          <w:p>
            <w:pPr>
              <w:spacing w:after="40" w:before="40"/>
              <w:jc w:val="center"/>
            </w:pPr>
            <w:r>
              <w:rPr>
                <w:color w:val="404040"/>
                <w:sz w:val="20"/>
                <w:szCs w:val="20"/>
              </w:rPr>
              <w:t xml:space="preserve">0.3785 (37.9 %)</w:t>
            </w:r>
          </w:p>
        </w:tc>
        <w:tc>
          <w:tcPr>
            <w:tcW w:type="dxa" w:w="3800"/>
            <w:shd w:fill="D9E1F2" w:color="auto" w:val="clear"/>
            <w:tcMar>
              <w:top w:type="dxa" w:w="40"/>
              <w:left w:type="dxa" w:w="80"/>
              <w:bottom w:type="dxa" w:w="40"/>
              <w:right w:type="dxa" w:w="80"/>
            </w:tcMar>
            <w:vAlign w:val="center"/>
          </w:tcPr>
          <w:p>
            <w:pPr>
              <w:spacing w:after="40" w:before="40"/>
              <w:jc w:val="left"/>
            </w:pPr>
            <w:r>
              <w:rPr>
                <w:color w:val="404040"/>
                <w:sz w:val="20"/>
                <w:szCs w:val="20"/>
              </w:rPr>
              <w:t xml:space="preserve">Segunda variable más discriminante</w:t>
            </w:r>
          </w:p>
        </w:tc>
      </w:tr>
      <w:tr>
        <w:tc>
          <w:tcPr>
            <w:tcW w:type="dxa" w:w="2500"/>
            <w:shd w:fill="FFFFFF" w:color="auto" w:val="clear"/>
            <w:tcMar>
              <w:top w:type="dxa" w:w="40"/>
              <w:left w:type="dxa" w:w="80"/>
              <w:bottom w:type="dxa" w:w="40"/>
              <w:right w:type="dxa" w:w="80"/>
            </w:tcMar>
            <w:vAlign w:val="center"/>
          </w:tcPr>
          <w:p>
            <w:pPr>
              <w:spacing w:after="40" w:before="40"/>
              <w:jc w:val="left"/>
            </w:pPr>
            <w:r>
              <w:rPr>
                <w:color w:val="404040"/>
                <w:sz w:val="20"/>
                <w:szCs w:val="20"/>
              </w:rPr>
              <w:t xml:space="preserve">lluvia</w:t>
            </w:r>
          </w:p>
        </w:tc>
        <w:tc>
          <w:tcPr>
            <w:tcW w:type="dxa" w:w="2000"/>
            <w:shd w:fill="FFFFFF" w:color="auto" w:val="clear"/>
            <w:tcMar>
              <w:top w:type="dxa" w:w="40"/>
              <w:left w:type="dxa" w:w="80"/>
              <w:bottom w:type="dxa" w:w="40"/>
              <w:right w:type="dxa" w:w="80"/>
            </w:tcMar>
            <w:vAlign w:val="center"/>
          </w:tcPr>
          <w:p>
            <w:pPr>
              <w:spacing w:after="40" w:before="40"/>
              <w:jc w:val="center"/>
            </w:pPr>
            <w:r>
              <w:rPr>
                <w:color w:val="404040"/>
                <w:sz w:val="20"/>
                <w:szCs w:val="20"/>
              </w:rPr>
              <w:t xml:space="preserve">0.1048 (10.5 %)</w:t>
            </w:r>
          </w:p>
        </w:tc>
        <w:tc>
          <w:tcPr>
            <w:tcW w:type="dxa" w:w="3800"/>
            <w:shd w:fill="FFFFFF" w:color="auto" w:val="clear"/>
            <w:tcMar>
              <w:top w:type="dxa" w:w="40"/>
              <w:left w:type="dxa" w:w="80"/>
              <w:bottom w:type="dxa" w:w="40"/>
              <w:right w:type="dxa" w:w="80"/>
            </w:tcMar>
            <w:vAlign w:val="center"/>
          </w:tcPr>
          <w:p>
            <w:pPr>
              <w:spacing w:after="40" w:before="40"/>
              <w:jc w:val="left"/>
            </w:pPr>
            <w:r>
              <w:rPr>
                <w:color w:val="404040"/>
                <w:sz w:val="20"/>
                <w:szCs w:val="20"/>
              </w:rPr>
              <w:t xml:space="preserve">Impacto moderado en la predicción</w:t>
            </w:r>
          </w:p>
        </w:tc>
      </w:tr>
      <w:tr>
        <w:tc>
          <w:tcPr>
            <w:tcW w:type="dxa" w:w="2500"/>
            <w:shd w:fill="D9E1F2" w:color="auto" w:val="clear"/>
            <w:tcMar>
              <w:top w:type="dxa" w:w="40"/>
              <w:left w:type="dxa" w:w="80"/>
              <w:bottom w:type="dxa" w:w="40"/>
              <w:right w:type="dxa" w:w="80"/>
            </w:tcMar>
            <w:vAlign w:val="center"/>
          </w:tcPr>
          <w:p>
            <w:pPr>
              <w:spacing w:after="40" w:before="40"/>
              <w:jc w:val="left"/>
            </w:pPr>
            <w:r>
              <w:rPr>
                <w:color w:val="404040"/>
                <w:sz w:val="20"/>
                <w:szCs w:val="20"/>
              </w:rPr>
              <w:t xml:space="preserve">estacion</w:t>
            </w:r>
          </w:p>
        </w:tc>
        <w:tc>
          <w:tcPr>
            <w:tcW w:type="dxa" w:w="2000"/>
            <w:shd w:fill="D9E1F2" w:color="auto" w:val="clear"/>
            <w:tcMar>
              <w:top w:type="dxa" w:w="40"/>
              <w:left w:type="dxa" w:w="80"/>
              <w:bottom w:type="dxa" w:w="40"/>
              <w:right w:type="dxa" w:w="80"/>
            </w:tcMar>
            <w:vAlign w:val="center"/>
          </w:tcPr>
          <w:p>
            <w:pPr>
              <w:spacing w:after="40" w:before="40"/>
              <w:jc w:val="center"/>
            </w:pPr>
            <w:r>
              <w:rPr>
                <w:color w:val="404040"/>
                <w:sz w:val="20"/>
                <w:szCs w:val="20"/>
              </w:rPr>
              <w:t xml:space="preserve">0.0323 (3.2 %)</w:t>
            </w:r>
          </w:p>
        </w:tc>
        <w:tc>
          <w:tcPr>
            <w:tcW w:type="dxa" w:w="3800"/>
            <w:shd w:fill="D9E1F2" w:color="auto" w:val="clear"/>
            <w:tcMar>
              <w:top w:type="dxa" w:w="40"/>
              <w:left w:type="dxa" w:w="80"/>
              <w:bottom w:type="dxa" w:w="40"/>
              <w:right w:type="dxa" w:w="80"/>
            </w:tcMar>
            <w:vAlign w:val="center"/>
          </w:tcPr>
          <w:p>
            <w:pPr>
              <w:spacing w:after="40" w:before="40"/>
              <w:jc w:val="left"/>
            </w:pPr>
            <w:r>
              <w:rPr>
                <w:color w:val="404040"/>
                <w:sz w:val="20"/>
                <w:szCs w:val="20"/>
              </w:rPr>
              <w:t xml:space="preserve">Efecto menor; la estación específica tiene poca relevancia extra</w:t>
            </w:r>
          </w:p>
        </w:tc>
      </w:tr>
      <w:tr>
        <w:tc>
          <w:tcPr>
            <w:tcW w:type="dxa" w:w="2500"/>
            <w:shd w:fill="FFFFFF" w:color="auto" w:val="clear"/>
            <w:tcMar>
              <w:top w:type="dxa" w:w="40"/>
              <w:left w:type="dxa" w:w="80"/>
              <w:bottom w:type="dxa" w:w="40"/>
              <w:right w:type="dxa" w:w="80"/>
            </w:tcMar>
            <w:vAlign w:val="center"/>
          </w:tcPr>
          <w:p>
            <w:pPr>
              <w:spacing w:after="40" w:before="40"/>
              <w:jc w:val="left"/>
            </w:pPr>
            <w:r>
              <w:rPr>
                <w:color w:val="404040"/>
                <w:sz w:val="20"/>
                <w:szCs w:val="20"/>
              </w:rPr>
              <w:t xml:space="preserve">tipo_estacion</w:t>
            </w:r>
          </w:p>
        </w:tc>
        <w:tc>
          <w:tcPr>
            <w:tcW w:type="dxa" w:w="2000"/>
            <w:shd w:fill="FFFFFF" w:color="auto" w:val="clear"/>
            <w:tcMar>
              <w:top w:type="dxa" w:w="40"/>
              <w:left w:type="dxa" w:w="80"/>
              <w:bottom w:type="dxa" w:w="40"/>
              <w:right w:type="dxa" w:w="80"/>
            </w:tcMar>
            <w:vAlign w:val="center"/>
          </w:tcPr>
          <w:p>
            <w:pPr>
              <w:spacing w:after="40" w:before="40"/>
              <w:jc w:val="center"/>
            </w:pPr>
            <w:r>
              <w:rPr>
                <w:color w:val="404040"/>
                <w:sz w:val="20"/>
                <w:szCs w:val="20"/>
              </w:rPr>
              <w:t xml:space="preserve">0.0000 (0.0 %)</w:t>
            </w:r>
          </w:p>
        </w:tc>
        <w:tc>
          <w:tcPr>
            <w:tcW w:type="dxa" w:w="3800"/>
            <w:shd w:fill="FFFFFF" w:color="auto" w:val="clear"/>
            <w:tcMar>
              <w:top w:type="dxa" w:w="40"/>
              <w:left w:type="dxa" w:w="80"/>
              <w:bottom w:type="dxa" w:w="40"/>
              <w:right w:type="dxa" w:w="80"/>
            </w:tcMar>
            <w:vAlign w:val="center"/>
          </w:tcPr>
          <w:p>
            <w:pPr>
              <w:spacing w:after="40" w:before="40"/>
              <w:jc w:val="left"/>
            </w:pPr>
            <w:r>
              <w:rPr>
                <w:color w:val="404040"/>
                <w:sz w:val="20"/>
                <w:szCs w:val="20"/>
              </w:rPr>
              <w:t xml:space="preserve">No seleccionada por el árbol en ningún nodo</w:t>
            </w:r>
          </w:p>
        </w:tc>
      </w:tr>
      <w:tr>
        <w:tc>
          <w:tcPr>
            <w:tcW w:type="dxa" w:w="2500"/>
            <w:shd w:fill="D9E1F2" w:color="auto" w:val="clear"/>
            <w:tcMar>
              <w:top w:type="dxa" w:w="40"/>
              <w:left w:type="dxa" w:w="80"/>
              <w:bottom w:type="dxa" w:w="40"/>
              <w:right w:type="dxa" w:w="80"/>
            </w:tcMar>
            <w:vAlign w:val="center"/>
          </w:tcPr>
          <w:p>
            <w:pPr>
              <w:spacing w:after="40" w:before="40"/>
              <w:jc w:val="left"/>
            </w:pPr>
            <w:r>
              <w:rPr>
                <w:color w:val="404040"/>
                <w:sz w:val="20"/>
                <w:szCs w:val="20"/>
              </w:rPr>
              <w:t xml:space="preserve">zona</w:t>
            </w:r>
          </w:p>
        </w:tc>
        <w:tc>
          <w:tcPr>
            <w:tcW w:type="dxa" w:w="2000"/>
            <w:shd w:fill="D9E1F2" w:color="auto" w:val="clear"/>
            <w:tcMar>
              <w:top w:type="dxa" w:w="40"/>
              <w:left w:type="dxa" w:w="80"/>
              <w:bottom w:type="dxa" w:w="40"/>
              <w:right w:type="dxa" w:w="80"/>
            </w:tcMar>
            <w:vAlign w:val="center"/>
          </w:tcPr>
          <w:p>
            <w:pPr>
              <w:spacing w:after="40" w:before="40"/>
              <w:jc w:val="center"/>
            </w:pPr>
            <w:r>
              <w:rPr>
                <w:color w:val="404040"/>
                <w:sz w:val="20"/>
                <w:szCs w:val="20"/>
              </w:rPr>
              <w:t xml:space="preserve">0.0000 (0.0 %)</w:t>
            </w:r>
          </w:p>
        </w:tc>
        <w:tc>
          <w:tcPr>
            <w:tcW w:type="dxa" w:w="3800"/>
            <w:shd w:fill="D9E1F2" w:color="auto" w:val="clear"/>
            <w:tcMar>
              <w:top w:type="dxa" w:w="40"/>
              <w:left w:type="dxa" w:w="80"/>
              <w:bottom w:type="dxa" w:w="40"/>
              <w:right w:type="dxa" w:w="80"/>
            </w:tcMar>
            <w:vAlign w:val="center"/>
          </w:tcPr>
          <w:p>
            <w:pPr>
              <w:spacing w:after="40" w:before="40"/>
              <w:jc w:val="left"/>
            </w:pPr>
            <w:r>
              <w:rPr>
                <w:color w:val="404040"/>
                <w:sz w:val="20"/>
                <w:szCs w:val="20"/>
              </w:rPr>
              <w:t xml:space="preserve">No seleccionada por el árbol en ningún nodo</w:t>
            </w:r>
          </w:p>
        </w:tc>
      </w:tr>
    </w:tbl>
    <w:p>
      <w:pPr>
        <w:spacing w:after="60"/>
      </w:pPr>
    </w:p>
    <w:p>
      <w:pPr>
        <w:pStyle w:val="Heading1"/>
        <w:pBdr>
          <w:bottom w:val="single" w:color="1F3864" w:sz="6"/>
        </w:pBdr>
        <w:spacing w:after="120" w:before="300"/>
      </w:pPr>
      <w:r>
        <w:t xml:space="preserve">8. Limitaciones y Consideraciones</w:t>
      </w:r>
    </w:p>
    <w:p>
      <w:pPr>
        <w:spacing w:after="80" w:before="60"/>
        <w:ind w:left="360"/>
      </w:pPr>
      <w:r>
        <w:rPr>
          <w:b/>
          <w:bCs/>
          <w:color w:val="000000"/>
          <w:sz w:val="22"/>
          <w:szCs w:val="22"/>
        </w:rPr>
        <w:t xml:space="preserve">1.  Datos sintéticos: </w:t>
      </w:r>
      <w:r>
        <w:rPr>
          <w:color w:val="404040"/>
          <w:sz w:val="22"/>
          <w:szCs w:val="22"/>
        </w:rPr>
        <w:t xml:space="preserve">El dataset fue generado por simulación y no proviene de mediciones reales del sistema. Los resultados del modelo deben interpretarse en el contexto académico del proyecto.</w:t>
      </w:r>
    </w:p>
    <w:p>
      <w:pPr>
        <w:spacing w:after="80" w:before="40"/>
        <w:ind w:left="360"/>
      </w:pPr>
      <w:r>
        <w:rPr>
          <w:b/>
          <w:bCs/>
          <w:color w:val="000000"/>
          <w:sz w:val="22"/>
          <w:szCs w:val="22"/>
        </w:rPr>
        <w:t xml:space="preserve">2.  Desbalance de clases: </w:t>
      </w:r>
      <w:r>
        <w:rPr>
          <w:color w:val="404040"/>
          <w:sz w:val="22"/>
          <w:szCs w:val="22"/>
        </w:rPr>
        <w:t xml:space="preserve">La clase Crítico representa solo el 4.6 % de los registros. El modelo puede tener menor precisión para esta clase minoritaria.</w:t>
      </w:r>
    </w:p>
    <w:p>
      <w:pPr>
        <w:spacing w:after="80" w:before="40"/>
        <w:ind w:left="360"/>
      </w:pPr>
      <w:r>
        <w:rPr>
          <w:b/>
          <w:bCs/>
          <w:color w:val="000000"/>
          <w:sz w:val="22"/>
          <w:szCs w:val="22"/>
        </w:rPr>
        <w:t xml:space="preserve">3.  Tamaño reducido: </w:t>
      </w:r>
      <w:r>
        <w:rPr>
          <w:color w:val="404040"/>
          <w:sz w:val="22"/>
          <w:szCs w:val="22"/>
        </w:rPr>
        <w:t xml:space="preserve">Con 240 registros, el dataset es pequeño. El conjunto de prueba (48 registros) limita la estimación estadística de las métricas.</w:t>
      </w:r>
    </w:p>
    <w:p>
      <w:pPr>
        <w:spacing w:after="80" w:before="40"/>
        <w:ind w:left="360"/>
      </w:pPr>
      <w:r>
        <w:rPr>
          <w:b/>
          <w:bCs/>
          <w:color w:val="000000"/>
          <w:sz w:val="22"/>
          <w:szCs w:val="22"/>
        </w:rPr>
        <w:t xml:space="preserve">4.  Variables excluidas: </w:t>
      </w:r>
      <w:r>
        <w:rPr>
          <w:color w:val="404040"/>
          <w:sz w:val="22"/>
          <w:szCs w:val="22"/>
        </w:rPr>
        <w:t xml:space="preserve">Las columnas validaciones_entrada, capacidad_hora y ocupacion_pct fueron excluidas del modelo para evitar fuga de datos (data leakage), ya que son derivadas directas de la variable objetivo.</w:t>
      </w:r>
    </w:p>
    <w:p>
      <w:pPr>
        <w:spacing w:after="60"/>
      </w:pPr>
    </w:p>
    <w:p>
      <w:pPr>
        <w:pStyle w:val="Heading1"/>
        <w:pBdr>
          <w:bottom w:val="single" w:color="1F3864" w:sz="6"/>
        </w:pBdr>
        <w:spacing w:after="120" w:before="300"/>
      </w:pPr>
      <w:r>
        <w:t xml:space="preserve">9. Referencias</w:t>
      </w:r>
    </w:p>
    <w:p>
      <w:pPr>
        <w:spacing w:after="100"/>
        <w:jc w:val="both"/>
      </w:pPr>
      <w:r>
        <w:rPr>
          <w:color w:val="404040"/>
          <w:sz w:val="22"/>
          <w:szCs w:val="22"/>
        </w:rPr>
        <w:t xml:space="preserve">Alcaldía Mayor de Bogotá – SIMUR. (2023). Encuesta de Movilidad de Bogotá 2023.</w:t>
      </w:r>
    </w:p>
    <w:p>
      <w:pPr>
        <w:spacing w:after="100"/>
        <w:jc w:val="both"/>
      </w:pPr>
      <w:r>
        <w:rPr>
          <w:color w:val="404040"/>
          <w:sz w:val="22"/>
          <w:szCs w:val="22"/>
        </w:rPr>
        <w:t xml:space="preserve">Datos Abiertos Colombia. (2025). Datos de TransMilenio. datos.gov.co</w:t>
      </w:r>
    </w:p>
    <w:p>
      <w:pPr>
        <w:spacing w:after="100"/>
        <w:jc w:val="both"/>
      </w:pPr>
      <w:r>
        <w:rPr>
          <w:color w:val="404040"/>
          <w:sz w:val="22"/>
          <w:szCs w:val="22"/>
        </w:rPr>
        <w:t xml:space="preserve">IDEAM. (2024). Registros históricos de precipitación – Estación Bogotá / El Dorado.</w:t>
      </w:r>
    </w:p>
    <w:p>
      <w:pPr>
        <w:spacing w:after="100"/>
        <w:jc w:val="both"/>
      </w:pPr>
      <w:r>
        <w:rPr>
          <w:color w:val="404040"/>
          <w:sz w:val="22"/>
          <w:szCs w:val="22"/>
        </w:rPr>
        <w:t xml:space="preserve">TransMilenio S.A. (2024). Informe de Gestión 2024. Bogotá: TransMilenio.</w:t>
      </w:r>
    </w:p>
    <w:p>
      <w:pPr>
        <w:spacing w:after="100"/>
        <w:jc w:val="both"/>
      </w:pPr>
      <w:r>
        <w:rPr>
          <w:color w:val="404040"/>
          <w:sz w:val="22"/>
          <w:szCs w:val="22"/>
        </w:rPr>
        <w:t xml:space="preserve">Breiman, L. et al. (1984). Classification and Regression Trees. Chapman &amp; Hall.</w:t>
      </w:r>
    </w:p>
    <w:p>
      <w:pPr>
        <w:spacing w:after="100"/>
        <w:jc w:val="both"/>
      </w:pPr>
      <w:r>
        <w:rPr>
          <w:color w:val="404040"/>
          <w:sz w:val="22"/>
          <w:szCs w:val="22"/>
        </w:rPr>
        <w:t xml:space="preserve">Quinlan, J. R. (1986). Induction of Decision Trees. Machine Learning, 1(1), 81–106.</w:t>
      </w:r>
    </w:p>
    <w:p>
      <w:pPr>
        <w:spacing w:after="100"/>
        <w:jc w:val="both"/>
      </w:pPr>
      <w:r>
        <w:rPr>
          <w:color w:val="404040"/>
          <w:sz w:val="22"/>
          <w:szCs w:val="22"/>
        </w:rPr>
        <w:t xml:space="preserve">Pedregosa, F. et al. (2011). Scikit-learn: Machine Learning in Python. JMLR, 12, 2825–2830.</w:t>
      </w:r>
    </w:p>
    <w:sectPr>
      <w:pgSz w:w="12240" w:h="15840" w:orient="portrait"/>
      <w:pgMar w:top="1440" w:right="1080" w:bottom="144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04040"/>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00"/>
      <w:outlineLvl w:val="0"/>
    </w:pPr>
    <w:rPr>
      <w:rFonts w:ascii="Calibri" w:cs="Calibri" w:eastAsia="Calibri" w:hAnsi="Calibri"/>
      <w:b/>
      <w:bCs/>
      <w:color w:val="1F3864"/>
      <w:sz w:val="32"/>
      <w:szCs w:val="32"/>
    </w:rPr>
  </w:style>
  <w:style w:type="paragraph" w:styleId="Heading2">
    <w:name w:val="Heading 2"/>
    <w:basedOn w:val="Normal"/>
    <w:next w:val="Normal"/>
    <w:pPr>
      <w:spacing w:after="80" w:before="240"/>
      <w:outlineLvl w:val="1"/>
    </w:pPr>
    <w:rPr>
      <w:rFonts w:ascii="Calibri" w:cs="Calibri" w:eastAsia="Calibri" w:hAnsi="Calibri"/>
      <w:b/>
      <w:bCs/>
      <w:color w:val="1F5C8B"/>
      <w:sz w:val="26"/>
      <w:szCs w:val="26"/>
    </w:rPr>
  </w:style>
  <w:style w:type="paragraph" w:styleId="Heading3">
    <w:name w:val="Heading 3"/>
    <w:basedOn w:val="Normal"/>
    <w:next w:val="Normal"/>
    <w:pPr>
      <w:spacing w:after="60" w:before="180"/>
      <w:outlineLvl w:val="2"/>
    </w:pPr>
    <w:rPr>
      <w:rFonts w:ascii="Calibri" w:cs="Calibri" w:eastAsia="Calibri" w:hAnsi="Calibri"/>
      <w:b/>
      <w:bCs/>
      <w:color w:val="40404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2026-10-11T20:07:22.176Z</dcterms:created>
  <dcterms:modified xsi:type="dcterms:W3CDTF">2026-10-11T20:07:22.177Z</dcterms:modified>
</cp:coreProperties>
</file>

<file path=docProps/custom.xml><?xml version="1.0" encoding="utf-8"?>
<Properties xmlns="http://schemas.openxmlformats.org/officeDocument/2006/custom-properties" xmlns:vt="http://schemas.openxmlformats.org/officeDocument/2006/docPropsVTypes"/>
</file>