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Caracter de escape: \n (salta la linea) \t (corre hacía la derecha)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__fpurge(stdin): sirve para vaciar buffer después de un ingreso por scanf (fflush en windows)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&amp;&amp;: si lo primero no se cumple, lo segundo no se ejecuta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break: Busca la estructura iterativa más proxima y la rompe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#define ARRAY_LIMIT 3: es una macro, antes de compilar el programa busca en todas las partes del codigo la palabra ARRAY_LIMIT y lo reemplaza por el valor indicado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Linux/git: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pwd: muestra en que directorio estoy posicionado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cd (Change directory): moverse por directorios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ls: muestra que otro directorios hay en el actual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ls -l: más detalles sobre directorios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ls -la: muestra cosas ocultas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git clone “URL de repositorio” (ctrl + shift + v  para pegar en terminal): guarda repositorio de la web de forma local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git status: dice si es repositorio o no de Git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git add “nombre de archivo” (-A hace que guarde todo lo del directorio actual)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git commit: saca “foto” de un proyecto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git commit -m “comentario”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git push (Ya sabe que es al repositorio al que clonamos)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git push origin “nombre de branch al que quiero mandar”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!Siempre ejecutar estos comandos al empezar clase!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Buscar directorio donde vayamos a clonar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git clone “URL”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git add -A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git commit -m “Comentario”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