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83FB"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b/>
          <w:bCs/>
          <w:sz w:val="24"/>
          <w:szCs w:val="24"/>
        </w:rPr>
        <w:t>Title: CST Synchronization, Human Survival, and Reported Spacecraft-Abduction Incidents: A Theoretical Warp-Encounter Framework</w:t>
      </w:r>
    </w:p>
    <w:p w14:paraId="630F36DB"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b/>
          <w:bCs/>
          <w:sz w:val="24"/>
          <w:szCs w:val="24"/>
        </w:rPr>
        <w:t>Author: Gabino Casanova</w:t>
      </w:r>
    </w:p>
    <w:p w14:paraId="59B8675E"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b/>
          <w:bCs/>
          <w:sz w:val="24"/>
          <w:szCs w:val="24"/>
        </w:rPr>
        <w:t>Abstract</w:t>
      </w:r>
    </w:p>
    <w:p w14:paraId="12626C00" w14:textId="6C6FA249"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 xml:space="preserve">This paper proposes a theoretical survival model for humans and non-human biological beings inside an advanced spacecraft or warp-like field environment. The central idea is that biological survival during an alleged abduction or interstellar transfer would require synchronized equilibrium between </w:t>
      </w:r>
      <w:r w:rsidRPr="001650D3">
        <w:rPr>
          <w:rFonts w:ascii="Times New Roman" w:eastAsia="Times New Roman" w:hAnsi="Times New Roman" w:cs="Times New Roman"/>
          <w:sz w:val="24"/>
          <w:szCs w:val="24"/>
        </w:rPr>
        <w:t>three-time</w:t>
      </w:r>
      <w:r w:rsidRPr="001650D3">
        <w:rPr>
          <w:rFonts w:ascii="Times New Roman" w:eastAsia="Times New Roman" w:hAnsi="Times New Roman" w:cs="Times New Roman"/>
          <w:sz w:val="24"/>
          <w:szCs w:val="24"/>
        </w:rPr>
        <w:t xml:space="preserve"> references: Earth clock time, ship internal clock time, and biological aging time. In standard relativity, a traveler moving at extreme velocity or through altered spacetime may age differently than observers on Earth. The CST theory proposed here argues that an advanced craft could reduce or manage that difference by maintaining a synchronized internal life-zone, allowing humans and another species to coexist safely in the same spacecraft environment.</w:t>
      </w:r>
    </w:p>
    <w:p w14:paraId="64D5F039"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b/>
          <w:bCs/>
          <w:sz w:val="24"/>
          <w:szCs w:val="24"/>
        </w:rPr>
        <w:t>Important Evidence Boundary</w:t>
      </w:r>
    </w:p>
    <w:p w14:paraId="7E6DABB2"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 xml:space="preserve">Reported alien-abduction cases are not scientific proof of extraterrestrial spacecraft. NASA’s UAP study states that there is no conclusive peer-reviewed evidence showing UAP are extraterrestrial in origin, and AARO likewise reports no verifiable evidence of extraterrestrial beings, activity, or technology. These incidents should therefore be treated as witness reports and theoretical design clues, not confirmed facts. </w:t>
      </w:r>
    </w:p>
    <w:p w14:paraId="5060C892"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b/>
          <w:bCs/>
          <w:sz w:val="24"/>
          <w:szCs w:val="24"/>
        </w:rPr>
        <w:t>Core Theory</w:t>
      </w:r>
    </w:p>
    <w:p w14:paraId="2BFB5B16"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 xml:space="preserve">The survival problem is not only oxygen, gravity, or radiation. It is also </w:t>
      </w:r>
      <w:proofErr w:type="gramStart"/>
      <w:r w:rsidRPr="001650D3">
        <w:rPr>
          <w:rFonts w:ascii="Times New Roman" w:eastAsia="Times New Roman" w:hAnsi="Times New Roman" w:cs="Times New Roman"/>
          <w:sz w:val="24"/>
          <w:szCs w:val="24"/>
        </w:rPr>
        <w:t>clock</w:t>
      </w:r>
      <w:proofErr w:type="gramEnd"/>
      <w:r w:rsidRPr="001650D3">
        <w:rPr>
          <w:rFonts w:ascii="Times New Roman" w:eastAsia="Times New Roman" w:hAnsi="Times New Roman" w:cs="Times New Roman"/>
          <w:sz w:val="24"/>
          <w:szCs w:val="24"/>
        </w:rPr>
        <w:t xml:space="preserve"> equilibrium. If a human is removed from Earth and placed inside a high-energy spacecraft field, the body must remain synchronized with Earth-normal biological time. Without synchronization, Einstein-style time dilation could create a mismatch: the traveler may age less while people on Earth age more. This is </w:t>
      </w:r>
      <w:proofErr w:type="gramStart"/>
      <w:r w:rsidRPr="001650D3">
        <w:rPr>
          <w:rFonts w:ascii="Times New Roman" w:eastAsia="Times New Roman" w:hAnsi="Times New Roman" w:cs="Times New Roman"/>
          <w:sz w:val="24"/>
          <w:szCs w:val="24"/>
        </w:rPr>
        <w:t>similar to</w:t>
      </w:r>
      <w:proofErr w:type="gramEnd"/>
      <w:r w:rsidRPr="001650D3">
        <w:rPr>
          <w:rFonts w:ascii="Times New Roman" w:eastAsia="Times New Roman" w:hAnsi="Times New Roman" w:cs="Times New Roman"/>
          <w:sz w:val="24"/>
          <w:szCs w:val="24"/>
        </w:rPr>
        <w:t xml:space="preserve"> the idea shown in </w:t>
      </w:r>
      <w:r w:rsidRPr="001650D3">
        <w:rPr>
          <w:rFonts w:ascii="Times New Roman" w:eastAsia="Times New Roman" w:hAnsi="Times New Roman" w:cs="Times New Roman"/>
          <w:i/>
          <w:iCs/>
          <w:sz w:val="24"/>
          <w:szCs w:val="24"/>
        </w:rPr>
        <w:t>Flight of the Navigator</w:t>
      </w:r>
      <w:r w:rsidRPr="001650D3">
        <w:rPr>
          <w:rFonts w:ascii="Times New Roman" w:eastAsia="Times New Roman" w:hAnsi="Times New Roman" w:cs="Times New Roman"/>
          <w:sz w:val="24"/>
          <w:szCs w:val="24"/>
        </w:rPr>
        <w:t>, where the traveler returns in the future because the ship’s time-state does not match Earth time.</w:t>
      </w:r>
    </w:p>
    <w:p w14:paraId="64E230DC"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The CST survival model is:</w:t>
      </w:r>
    </w:p>
    <w:p w14:paraId="547947E7" w14:textId="77777777" w:rsidR="001650D3" w:rsidRPr="001650D3" w:rsidRDefault="001650D3" w:rsidP="001650D3">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bio-earth</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body</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earth</m:t>
              </m:r>
            </m:sub>
          </m:sSub>
          <m:r>
            <w:rPr>
              <w:rFonts w:ascii="Cambria Math" w:eastAsia="Times New Roman" w:hAnsi="Cambria Math" w:cs="Times New Roman"/>
              <w:sz w:val="24"/>
              <w:szCs w:val="24"/>
            </w:rPr>
            <m:t>≈0</m:t>
          </m:r>
          <m:r>
            <w:rPr>
              <w:rFonts w:ascii="Cambria Math" w:eastAsia="Times New Roman" w:hAnsi="Cambria Math" w:cs="Times New Roman"/>
              <w:i/>
              <w:sz w:val="24"/>
              <w:szCs w:val="24"/>
            </w:rPr>
            <w:br/>
          </m:r>
        </m:oMath>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ship-earth</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ship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earth</m:t>
              </m:r>
            </m:sub>
          </m:sSub>
          <m:r>
            <w:rPr>
              <w:rFonts w:ascii="Cambria Math" w:eastAsia="Times New Roman" w:hAnsi="Cambria Math" w:cs="Times New Roman"/>
              <w:sz w:val="24"/>
              <w:szCs w:val="24"/>
            </w:rPr>
            <m:t>≈0</m:t>
          </m:r>
          <m:r>
            <w:rPr>
              <w:rFonts w:ascii="Cambria Math" w:eastAsia="Times New Roman" w:hAnsi="Cambria Math" w:cs="Times New Roman"/>
              <w:i/>
              <w:sz w:val="24"/>
              <w:szCs w:val="24"/>
            </w:rPr>
            <w:br/>
          </m:r>
        </m:oMath>
        <m:oMath>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safe</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earth</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4BC85CE8"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The goal is to keep the human body, ship clock, and Earth reference clock close enough that the person ages normally, even if the ship itself is moving through a distorted spacetime condition.</w:t>
      </w:r>
    </w:p>
    <w:p w14:paraId="60A11103"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b/>
          <w:bCs/>
          <w:sz w:val="24"/>
          <w:szCs w:val="24"/>
        </w:rPr>
        <w:lastRenderedPageBreak/>
        <w:t>Upgraded Incident Table: Reported Inside-Craft Abduction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1351"/>
        <w:gridCol w:w="1043"/>
        <w:gridCol w:w="1359"/>
        <w:gridCol w:w="1777"/>
        <w:gridCol w:w="1853"/>
      </w:tblGrid>
      <w:tr w:rsidR="001650D3" w:rsidRPr="001650D3" w14:paraId="796D779D" w14:textId="77777777">
        <w:trPr>
          <w:tblHeader/>
          <w:tblCellSpacing w:w="15" w:type="dxa"/>
        </w:trPr>
        <w:tc>
          <w:tcPr>
            <w:tcW w:w="0" w:type="auto"/>
            <w:vAlign w:val="center"/>
            <w:hideMark/>
          </w:tcPr>
          <w:p w14:paraId="1E168D0A" w14:textId="77777777" w:rsidR="001650D3" w:rsidRPr="001650D3" w:rsidRDefault="001650D3" w:rsidP="001650D3">
            <w:pPr>
              <w:spacing w:after="0" w:line="240" w:lineRule="auto"/>
              <w:jc w:val="center"/>
              <w:rPr>
                <w:rFonts w:ascii="Times New Roman" w:eastAsia="Times New Roman" w:hAnsi="Times New Roman" w:cs="Times New Roman"/>
                <w:b/>
                <w:bCs/>
                <w:sz w:val="24"/>
                <w:szCs w:val="24"/>
              </w:rPr>
            </w:pPr>
            <w:r w:rsidRPr="001650D3">
              <w:rPr>
                <w:rFonts w:ascii="Times New Roman" w:eastAsia="Times New Roman" w:hAnsi="Times New Roman" w:cs="Times New Roman"/>
                <w:b/>
                <w:bCs/>
                <w:sz w:val="24"/>
                <w:szCs w:val="24"/>
              </w:rPr>
              <w:t>Order</w:t>
            </w:r>
          </w:p>
        </w:tc>
        <w:tc>
          <w:tcPr>
            <w:tcW w:w="0" w:type="auto"/>
            <w:vAlign w:val="center"/>
            <w:hideMark/>
          </w:tcPr>
          <w:p w14:paraId="622D7027" w14:textId="77777777" w:rsidR="001650D3" w:rsidRPr="001650D3" w:rsidRDefault="001650D3" w:rsidP="001650D3">
            <w:pPr>
              <w:spacing w:after="0" w:line="240" w:lineRule="auto"/>
              <w:jc w:val="center"/>
              <w:rPr>
                <w:rFonts w:ascii="Times New Roman" w:eastAsia="Times New Roman" w:hAnsi="Times New Roman" w:cs="Times New Roman"/>
                <w:b/>
                <w:bCs/>
                <w:sz w:val="24"/>
                <w:szCs w:val="24"/>
              </w:rPr>
            </w:pPr>
            <w:r w:rsidRPr="001650D3">
              <w:rPr>
                <w:rFonts w:ascii="Times New Roman" w:eastAsia="Times New Roman" w:hAnsi="Times New Roman" w:cs="Times New Roman"/>
                <w:b/>
                <w:bCs/>
                <w:sz w:val="24"/>
                <w:szCs w:val="24"/>
              </w:rPr>
              <w:t>Location only</w:t>
            </w:r>
          </w:p>
        </w:tc>
        <w:tc>
          <w:tcPr>
            <w:tcW w:w="0" w:type="auto"/>
            <w:vAlign w:val="center"/>
            <w:hideMark/>
          </w:tcPr>
          <w:p w14:paraId="043478DD" w14:textId="77777777" w:rsidR="001650D3" w:rsidRPr="001650D3" w:rsidRDefault="001650D3" w:rsidP="001650D3">
            <w:pPr>
              <w:spacing w:after="0" w:line="240" w:lineRule="auto"/>
              <w:jc w:val="center"/>
              <w:rPr>
                <w:rFonts w:ascii="Times New Roman" w:eastAsia="Times New Roman" w:hAnsi="Times New Roman" w:cs="Times New Roman"/>
                <w:b/>
                <w:bCs/>
                <w:sz w:val="24"/>
                <w:szCs w:val="24"/>
              </w:rPr>
            </w:pPr>
            <w:r w:rsidRPr="001650D3">
              <w:rPr>
                <w:rFonts w:ascii="Times New Roman" w:eastAsia="Times New Roman" w:hAnsi="Times New Roman" w:cs="Times New Roman"/>
                <w:b/>
                <w:bCs/>
                <w:sz w:val="24"/>
                <w:szCs w:val="24"/>
              </w:rPr>
              <w:t>Date / time</w:t>
            </w:r>
          </w:p>
        </w:tc>
        <w:tc>
          <w:tcPr>
            <w:tcW w:w="0" w:type="auto"/>
            <w:vAlign w:val="center"/>
            <w:hideMark/>
          </w:tcPr>
          <w:p w14:paraId="6C0D70F4" w14:textId="77777777" w:rsidR="001650D3" w:rsidRPr="001650D3" w:rsidRDefault="001650D3" w:rsidP="001650D3">
            <w:pPr>
              <w:spacing w:after="0" w:line="240" w:lineRule="auto"/>
              <w:jc w:val="center"/>
              <w:rPr>
                <w:rFonts w:ascii="Times New Roman" w:eastAsia="Times New Roman" w:hAnsi="Times New Roman" w:cs="Times New Roman"/>
                <w:b/>
                <w:bCs/>
                <w:sz w:val="24"/>
                <w:szCs w:val="24"/>
              </w:rPr>
            </w:pPr>
            <w:r w:rsidRPr="001650D3">
              <w:rPr>
                <w:rFonts w:ascii="Times New Roman" w:eastAsia="Times New Roman" w:hAnsi="Times New Roman" w:cs="Times New Roman"/>
                <w:b/>
                <w:bCs/>
                <w:sz w:val="24"/>
                <w:szCs w:val="24"/>
              </w:rPr>
              <w:t xml:space="preserve">Approx. </w:t>
            </w:r>
            <w:proofErr w:type="spellStart"/>
            <w:r w:rsidRPr="001650D3">
              <w:rPr>
                <w:rFonts w:ascii="Times New Roman" w:eastAsia="Times New Roman" w:hAnsi="Times New Roman" w:cs="Times New Roman"/>
                <w:b/>
                <w:bCs/>
                <w:sz w:val="24"/>
                <w:szCs w:val="24"/>
              </w:rPr>
              <w:t>lat</w:t>
            </w:r>
            <w:proofErr w:type="spellEnd"/>
            <w:r w:rsidRPr="001650D3">
              <w:rPr>
                <w:rFonts w:ascii="Times New Roman" w:eastAsia="Times New Roman" w:hAnsi="Times New Roman" w:cs="Times New Roman"/>
                <w:b/>
                <w:bCs/>
                <w:sz w:val="24"/>
                <w:szCs w:val="24"/>
              </w:rPr>
              <w:t>/long</w:t>
            </w:r>
          </w:p>
        </w:tc>
        <w:tc>
          <w:tcPr>
            <w:tcW w:w="0" w:type="auto"/>
            <w:vAlign w:val="center"/>
            <w:hideMark/>
          </w:tcPr>
          <w:p w14:paraId="5AB32318" w14:textId="77777777" w:rsidR="001650D3" w:rsidRPr="001650D3" w:rsidRDefault="001650D3" w:rsidP="001650D3">
            <w:pPr>
              <w:spacing w:after="0" w:line="240" w:lineRule="auto"/>
              <w:jc w:val="center"/>
              <w:rPr>
                <w:rFonts w:ascii="Times New Roman" w:eastAsia="Times New Roman" w:hAnsi="Times New Roman" w:cs="Times New Roman"/>
                <w:b/>
                <w:bCs/>
                <w:sz w:val="24"/>
                <w:szCs w:val="24"/>
              </w:rPr>
            </w:pPr>
            <w:r w:rsidRPr="001650D3">
              <w:rPr>
                <w:rFonts w:ascii="Times New Roman" w:eastAsia="Times New Roman" w:hAnsi="Times New Roman" w:cs="Times New Roman"/>
                <w:b/>
                <w:bCs/>
                <w:sz w:val="24"/>
                <w:szCs w:val="24"/>
              </w:rPr>
              <w:t>Short inside-ship report</w:t>
            </w:r>
          </w:p>
        </w:tc>
        <w:tc>
          <w:tcPr>
            <w:tcW w:w="0" w:type="auto"/>
            <w:vAlign w:val="center"/>
            <w:hideMark/>
          </w:tcPr>
          <w:p w14:paraId="255643A3" w14:textId="77777777" w:rsidR="001650D3" w:rsidRPr="001650D3" w:rsidRDefault="001650D3" w:rsidP="001650D3">
            <w:pPr>
              <w:spacing w:after="0" w:line="240" w:lineRule="auto"/>
              <w:jc w:val="center"/>
              <w:rPr>
                <w:rFonts w:ascii="Times New Roman" w:eastAsia="Times New Roman" w:hAnsi="Times New Roman" w:cs="Times New Roman"/>
                <w:b/>
                <w:bCs/>
                <w:sz w:val="24"/>
                <w:szCs w:val="24"/>
              </w:rPr>
            </w:pPr>
            <w:r w:rsidRPr="001650D3">
              <w:rPr>
                <w:rFonts w:ascii="Times New Roman" w:eastAsia="Times New Roman" w:hAnsi="Times New Roman" w:cs="Times New Roman"/>
                <w:b/>
                <w:bCs/>
                <w:sz w:val="24"/>
                <w:szCs w:val="24"/>
              </w:rPr>
              <w:t>CST survival interpretation</w:t>
            </w:r>
          </w:p>
        </w:tc>
      </w:tr>
      <w:tr w:rsidR="001650D3" w:rsidRPr="001650D3" w14:paraId="4D520B47" w14:textId="77777777">
        <w:trPr>
          <w:tblCellSpacing w:w="15" w:type="dxa"/>
        </w:trPr>
        <w:tc>
          <w:tcPr>
            <w:tcW w:w="0" w:type="auto"/>
            <w:vAlign w:val="center"/>
            <w:hideMark/>
          </w:tcPr>
          <w:p w14:paraId="7792B319"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Oldest widely known inside-craft report</w:t>
            </w:r>
          </w:p>
        </w:tc>
        <w:tc>
          <w:tcPr>
            <w:tcW w:w="0" w:type="auto"/>
            <w:vAlign w:val="center"/>
            <w:hideMark/>
          </w:tcPr>
          <w:p w14:paraId="51EDCA08"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São Francisco de Sales, Minas Gerais, Brazil</w:t>
            </w:r>
          </w:p>
        </w:tc>
        <w:tc>
          <w:tcPr>
            <w:tcW w:w="0" w:type="auto"/>
            <w:vAlign w:val="center"/>
            <w:hideMark/>
          </w:tcPr>
          <w:p w14:paraId="2A6C69CD"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Oct. 16, 1957, nighttime</w:t>
            </w:r>
          </w:p>
        </w:tc>
        <w:tc>
          <w:tcPr>
            <w:tcW w:w="0" w:type="auto"/>
            <w:vAlign w:val="center"/>
            <w:hideMark/>
          </w:tcPr>
          <w:p w14:paraId="1C23AF99"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19.8549° S, 49.7710° W</w:t>
            </w:r>
          </w:p>
        </w:tc>
        <w:tc>
          <w:tcPr>
            <w:tcW w:w="0" w:type="auto"/>
            <w:vAlign w:val="center"/>
            <w:hideMark/>
          </w:tcPr>
          <w:p w14:paraId="2014370F"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Report describes a person taken into an egg-shaped craft, confined inside, then released after several hours.</w:t>
            </w:r>
          </w:p>
        </w:tc>
        <w:tc>
          <w:tcPr>
            <w:tcW w:w="0" w:type="auto"/>
            <w:vAlign w:val="center"/>
            <w:hideMark/>
          </w:tcPr>
          <w:p w14:paraId="4290EFF3"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 xml:space="preserve">Suggests alleged local time mismatch and controlled internal environment. </w:t>
            </w:r>
          </w:p>
        </w:tc>
      </w:tr>
      <w:tr w:rsidR="001650D3" w:rsidRPr="001650D3" w14:paraId="16BFFB2B" w14:textId="77777777">
        <w:trPr>
          <w:tblCellSpacing w:w="15" w:type="dxa"/>
        </w:trPr>
        <w:tc>
          <w:tcPr>
            <w:tcW w:w="0" w:type="auto"/>
            <w:vAlign w:val="center"/>
            <w:hideMark/>
          </w:tcPr>
          <w:p w14:paraId="5F878001"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First widely reported U.S. abduction case</w:t>
            </w:r>
          </w:p>
        </w:tc>
        <w:tc>
          <w:tcPr>
            <w:tcW w:w="0" w:type="auto"/>
            <w:vAlign w:val="center"/>
            <w:hideMark/>
          </w:tcPr>
          <w:p w14:paraId="6C467EB4"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Rural New Hampshire, near Indian Head / Lincoln area</w:t>
            </w:r>
          </w:p>
        </w:tc>
        <w:tc>
          <w:tcPr>
            <w:tcW w:w="0" w:type="auto"/>
            <w:vAlign w:val="center"/>
            <w:hideMark/>
          </w:tcPr>
          <w:p w14:paraId="67779F26"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Sept. 19–20, 1961</w:t>
            </w:r>
          </w:p>
        </w:tc>
        <w:tc>
          <w:tcPr>
            <w:tcW w:w="0" w:type="auto"/>
            <w:vAlign w:val="center"/>
            <w:hideMark/>
          </w:tcPr>
          <w:p w14:paraId="73215409"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approx. 44.0° N, 71.7° W</w:t>
            </w:r>
          </w:p>
        </w:tc>
        <w:tc>
          <w:tcPr>
            <w:tcW w:w="0" w:type="auto"/>
            <w:vAlign w:val="center"/>
            <w:hideMark/>
          </w:tcPr>
          <w:p w14:paraId="60A1D84D"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Report describes missing time, medical examination, and star-map memory after later recall.</w:t>
            </w:r>
          </w:p>
        </w:tc>
        <w:tc>
          <w:tcPr>
            <w:tcW w:w="0" w:type="auto"/>
            <w:vAlign w:val="center"/>
            <w:hideMark/>
          </w:tcPr>
          <w:p w14:paraId="3BF3E5B4"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 xml:space="preserve">Useful for CST theory because missing time implies Earth-clock/subject-clock mismatch. </w:t>
            </w:r>
          </w:p>
        </w:tc>
      </w:tr>
      <w:tr w:rsidR="001650D3" w:rsidRPr="001650D3" w14:paraId="6BA5B333" w14:textId="77777777">
        <w:trPr>
          <w:tblCellSpacing w:w="15" w:type="dxa"/>
        </w:trPr>
        <w:tc>
          <w:tcPr>
            <w:tcW w:w="0" w:type="auto"/>
            <w:vAlign w:val="center"/>
            <w:hideMark/>
          </w:tcPr>
          <w:p w14:paraId="5E134CC1"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Mississippi riverbank case</w:t>
            </w:r>
          </w:p>
        </w:tc>
        <w:tc>
          <w:tcPr>
            <w:tcW w:w="0" w:type="auto"/>
            <w:vAlign w:val="center"/>
            <w:hideMark/>
          </w:tcPr>
          <w:p w14:paraId="2574616E"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Pascagoula, Mississippi</w:t>
            </w:r>
          </w:p>
        </w:tc>
        <w:tc>
          <w:tcPr>
            <w:tcW w:w="0" w:type="auto"/>
            <w:vAlign w:val="center"/>
            <w:hideMark/>
          </w:tcPr>
          <w:p w14:paraId="7CCA8037"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Oct. 11, 1973</w:t>
            </w:r>
          </w:p>
        </w:tc>
        <w:tc>
          <w:tcPr>
            <w:tcW w:w="0" w:type="auto"/>
            <w:vAlign w:val="center"/>
            <w:hideMark/>
          </w:tcPr>
          <w:p w14:paraId="7FA5B437"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30.3592° N, 88.5672° W</w:t>
            </w:r>
          </w:p>
        </w:tc>
        <w:tc>
          <w:tcPr>
            <w:tcW w:w="0" w:type="auto"/>
            <w:vAlign w:val="center"/>
            <w:hideMark/>
          </w:tcPr>
          <w:p w14:paraId="12FF9419"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Report describes being taken aboard and examined before release.</w:t>
            </w:r>
          </w:p>
        </w:tc>
        <w:tc>
          <w:tcPr>
            <w:tcW w:w="0" w:type="auto"/>
            <w:vAlign w:val="center"/>
            <w:hideMark/>
          </w:tcPr>
          <w:p w14:paraId="71E14F22"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 xml:space="preserve">Suggests short-duration containment: stabilize body, examine, release before biological stress rises. </w:t>
            </w:r>
          </w:p>
        </w:tc>
      </w:tr>
      <w:tr w:rsidR="001650D3" w:rsidRPr="001650D3" w14:paraId="5103ED43" w14:textId="77777777">
        <w:trPr>
          <w:tblCellSpacing w:w="15" w:type="dxa"/>
        </w:trPr>
        <w:tc>
          <w:tcPr>
            <w:tcW w:w="0" w:type="auto"/>
            <w:vAlign w:val="center"/>
            <w:hideMark/>
          </w:tcPr>
          <w:p w14:paraId="4ED8A270"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Forest logging-road case</w:t>
            </w:r>
          </w:p>
        </w:tc>
        <w:tc>
          <w:tcPr>
            <w:tcW w:w="0" w:type="auto"/>
            <w:vAlign w:val="center"/>
            <w:hideMark/>
          </w:tcPr>
          <w:p w14:paraId="67DC86B7"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Apache-Sitgreaves National Forest, Arizona</w:t>
            </w:r>
          </w:p>
        </w:tc>
        <w:tc>
          <w:tcPr>
            <w:tcW w:w="0" w:type="auto"/>
            <w:vAlign w:val="center"/>
            <w:hideMark/>
          </w:tcPr>
          <w:p w14:paraId="12290721"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Nov. 5, 1975</w:t>
            </w:r>
          </w:p>
        </w:tc>
        <w:tc>
          <w:tcPr>
            <w:tcW w:w="0" w:type="auto"/>
            <w:vAlign w:val="center"/>
            <w:hideMark/>
          </w:tcPr>
          <w:p w14:paraId="4B033F00"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34.302252° N, 110.642982° W</w:t>
            </w:r>
          </w:p>
        </w:tc>
        <w:tc>
          <w:tcPr>
            <w:tcW w:w="0" w:type="auto"/>
            <w:vAlign w:val="center"/>
            <w:hideMark/>
          </w:tcPr>
          <w:p w14:paraId="5694BDD0"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Report describes disappearance for five days, floating/low-gravity effects, beings inside craft, and altered perception.</w:t>
            </w:r>
          </w:p>
        </w:tc>
        <w:tc>
          <w:tcPr>
            <w:tcW w:w="0" w:type="auto"/>
            <w:vAlign w:val="center"/>
            <w:hideMark/>
          </w:tcPr>
          <w:p w14:paraId="2342B419"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 xml:space="preserve">Strong fit for CST theory: external time was days, while internal perceived time may have been shorter. </w:t>
            </w:r>
          </w:p>
        </w:tc>
      </w:tr>
      <w:tr w:rsidR="001650D3" w:rsidRPr="001650D3" w14:paraId="348493D6" w14:textId="77777777">
        <w:trPr>
          <w:tblCellSpacing w:w="15" w:type="dxa"/>
        </w:trPr>
        <w:tc>
          <w:tcPr>
            <w:tcW w:w="0" w:type="auto"/>
            <w:vAlign w:val="center"/>
            <w:hideMark/>
          </w:tcPr>
          <w:p w14:paraId="1EB1F670"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Wilderness-water case</w:t>
            </w:r>
          </w:p>
        </w:tc>
        <w:tc>
          <w:tcPr>
            <w:tcW w:w="0" w:type="auto"/>
            <w:vAlign w:val="center"/>
            <w:hideMark/>
          </w:tcPr>
          <w:p w14:paraId="2C47EB06"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Allagash Wilderness, Maine</w:t>
            </w:r>
          </w:p>
        </w:tc>
        <w:tc>
          <w:tcPr>
            <w:tcW w:w="0" w:type="auto"/>
            <w:vAlign w:val="center"/>
            <w:hideMark/>
          </w:tcPr>
          <w:p w14:paraId="5E1011D4"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Aug. 20, 1976</w:t>
            </w:r>
          </w:p>
        </w:tc>
        <w:tc>
          <w:tcPr>
            <w:tcW w:w="0" w:type="auto"/>
            <w:vAlign w:val="center"/>
            <w:hideMark/>
          </w:tcPr>
          <w:p w14:paraId="2988EB40"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approx. 47.1° N, 69.1° W</w:t>
            </w:r>
          </w:p>
        </w:tc>
        <w:tc>
          <w:tcPr>
            <w:tcW w:w="0" w:type="auto"/>
            <w:vAlign w:val="center"/>
            <w:hideMark/>
          </w:tcPr>
          <w:p w14:paraId="04B5CC0C"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 xml:space="preserve">Report describes bright </w:t>
            </w:r>
            <w:proofErr w:type="gramStart"/>
            <w:r w:rsidRPr="001650D3">
              <w:rPr>
                <w:rFonts w:ascii="Times New Roman" w:eastAsia="Times New Roman" w:hAnsi="Times New Roman" w:cs="Times New Roman"/>
                <w:sz w:val="24"/>
                <w:szCs w:val="24"/>
              </w:rPr>
              <w:t>object</w:t>
            </w:r>
            <w:proofErr w:type="gramEnd"/>
            <w:r w:rsidRPr="001650D3">
              <w:rPr>
                <w:rFonts w:ascii="Times New Roman" w:eastAsia="Times New Roman" w:hAnsi="Times New Roman" w:cs="Times New Roman"/>
                <w:sz w:val="24"/>
                <w:szCs w:val="24"/>
              </w:rPr>
              <w:t xml:space="preserve">, light </w:t>
            </w:r>
            <w:proofErr w:type="gramStart"/>
            <w:r w:rsidRPr="001650D3">
              <w:rPr>
                <w:rFonts w:ascii="Times New Roman" w:eastAsia="Times New Roman" w:hAnsi="Times New Roman" w:cs="Times New Roman"/>
                <w:sz w:val="24"/>
                <w:szCs w:val="24"/>
              </w:rPr>
              <w:t>beam</w:t>
            </w:r>
            <w:proofErr w:type="gramEnd"/>
            <w:r w:rsidRPr="001650D3">
              <w:rPr>
                <w:rFonts w:ascii="Times New Roman" w:eastAsia="Times New Roman" w:hAnsi="Times New Roman" w:cs="Times New Roman"/>
                <w:sz w:val="24"/>
                <w:szCs w:val="24"/>
              </w:rPr>
              <w:t>, missing memory, and later accounts of examination.</w:t>
            </w:r>
          </w:p>
        </w:tc>
        <w:tc>
          <w:tcPr>
            <w:tcW w:w="0" w:type="auto"/>
            <w:vAlign w:val="center"/>
            <w:hideMark/>
          </w:tcPr>
          <w:p w14:paraId="4D619B03"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 xml:space="preserve">Suggests field capture or lift-beam model requiring biological stabilization. </w:t>
            </w:r>
          </w:p>
        </w:tc>
      </w:tr>
      <w:tr w:rsidR="001650D3" w:rsidRPr="001650D3" w14:paraId="7F52763B" w14:textId="77777777">
        <w:trPr>
          <w:tblCellSpacing w:w="15" w:type="dxa"/>
        </w:trPr>
        <w:tc>
          <w:tcPr>
            <w:tcW w:w="0" w:type="auto"/>
            <w:vAlign w:val="center"/>
            <w:hideMark/>
          </w:tcPr>
          <w:p w14:paraId="5D285919"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Newer well-known online inside-craft claim</w:t>
            </w:r>
          </w:p>
        </w:tc>
        <w:tc>
          <w:tcPr>
            <w:tcW w:w="0" w:type="auto"/>
            <w:vAlign w:val="center"/>
            <w:hideMark/>
          </w:tcPr>
          <w:p w14:paraId="6FEF048C"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Lower Manhattan, New York City</w:t>
            </w:r>
          </w:p>
        </w:tc>
        <w:tc>
          <w:tcPr>
            <w:tcW w:w="0" w:type="auto"/>
            <w:vAlign w:val="center"/>
            <w:hideMark/>
          </w:tcPr>
          <w:p w14:paraId="3F8E615A"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Nov. 30, 1989, about 3 a.m.</w:t>
            </w:r>
          </w:p>
        </w:tc>
        <w:tc>
          <w:tcPr>
            <w:tcW w:w="0" w:type="auto"/>
            <w:vAlign w:val="center"/>
            <w:hideMark/>
          </w:tcPr>
          <w:p w14:paraId="54398226"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approx. 40.71° N, 74.00° W</w:t>
            </w:r>
          </w:p>
        </w:tc>
        <w:tc>
          <w:tcPr>
            <w:tcW w:w="0" w:type="auto"/>
            <w:vAlign w:val="center"/>
            <w:hideMark/>
          </w:tcPr>
          <w:p w14:paraId="3D42DE72"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 xml:space="preserve">Report claims removal from apartment into a craft and examination; </w:t>
            </w:r>
            <w:r w:rsidRPr="001650D3">
              <w:rPr>
                <w:rFonts w:ascii="Times New Roman" w:eastAsia="Times New Roman" w:hAnsi="Times New Roman" w:cs="Times New Roman"/>
                <w:sz w:val="24"/>
                <w:szCs w:val="24"/>
              </w:rPr>
              <w:lastRenderedPageBreak/>
              <w:t>modern documentary coverage revived the case.</w:t>
            </w:r>
          </w:p>
        </w:tc>
        <w:tc>
          <w:tcPr>
            <w:tcW w:w="0" w:type="auto"/>
            <w:vAlign w:val="center"/>
            <w:hideMark/>
          </w:tcPr>
          <w:p w14:paraId="495C91CE"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lastRenderedPageBreak/>
              <w:t>Treated as weak evidence but useful as a modern narrative example of lift-</w:t>
            </w:r>
            <w:r w:rsidRPr="001650D3">
              <w:rPr>
                <w:rFonts w:ascii="Times New Roman" w:eastAsia="Times New Roman" w:hAnsi="Times New Roman" w:cs="Times New Roman"/>
                <w:sz w:val="24"/>
                <w:szCs w:val="24"/>
              </w:rPr>
              <w:lastRenderedPageBreak/>
              <w:t xml:space="preserve">field and internal containment claims. </w:t>
            </w:r>
          </w:p>
        </w:tc>
      </w:tr>
    </w:tbl>
    <w:p w14:paraId="198EB2F1"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b/>
          <w:bCs/>
          <w:sz w:val="24"/>
          <w:szCs w:val="24"/>
        </w:rPr>
        <w:lastRenderedPageBreak/>
        <w:t>Survival Requirements Inside the Ship</w:t>
      </w:r>
    </w:p>
    <w:p w14:paraId="1273849F"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A survivable spacecraft life-zone must create equilibrium between human biology and the craft environment. The upgraded parameters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6728"/>
      </w:tblGrid>
      <w:tr w:rsidR="001650D3" w:rsidRPr="001650D3" w14:paraId="4B7934C4" w14:textId="77777777">
        <w:trPr>
          <w:tblHeader/>
          <w:tblCellSpacing w:w="15" w:type="dxa"/>
        </w:trPr>
        <w:tc>
          <w:tcPr>
            <w:tcW w:w="0" w:type="auto"/>
            <w:vAlign w:val="center"/>
            <w:hideMark/>
          </w:tcPr>
          <w:p w14:paraId="74B37CA9" w14:textId="77777777" w:rsidR="001650D3" w:rsidRPr="001650D3" w:rsidRDefault="001650D3" w:rsidP="001650D3">
            <w:pPr>
              <w:spacing w:after="0" w:line="240" w:lineRule="auto"/>
              <w:jc w:val="center"/>
              <w:rPr>
                <w:rFonts w:ascii="Times New Roman" w:eastAsia="Times New Roman" w:hAnsi="Times New Roman" w:cs="Times New Roman"/>
                <w:b/>
                <w:bCs/>
                <w:sz w:val="24"/>
                <w:szCs w:val="24"/>
              </w:rPr>
            </w:pPr>
            <w:r w:rsidRPr="001650D3">
              <w:rPr>
                <w:rFonts w:ascii="Times New Roman" w:eastAsia="Times New Roman" w:hAnsi="Times New Roman" w:cs="Times New Roman"/>
                <w:b/>
                <w:bCs/>
                <w:sz w:val="24"/>
                <w:szCs w:val="24"/>
              </w:rPr>
              <w:t>System</w:t>
            </w:r>
          </w:p>
        </w:tc>
        <w:tc>
          <w:tcPr>
            <w:tcW w:w="0" w:type="auto"/>
            <w:vAlign w:val="center"/>
            <w:hideMark/>
          </w:tcPr>
          <w:p w14:paraId="24C24260" w14:textId="77777777" w:rsidR="001650D3" w:rsidRPr="001650D3" w:rsidRDefault="001650D3" w:rsidP="001650D3">
            <w:pPr>
              <w:spacing w:after="0" w:line="240" w:lineRule="auto"/>
              <w:jc w:val="center"/>
              <w:rPr>
                <w:rFonts w:ascii="Times New Roman" w:eastAsia="Times New Roman" w:hAnsi="Times New Roman" w:cs="Times New Roman"/>
                <w:b/>
                <w:bCs/>
                <w:sz w:val="24"/>
                <w:szCs w:val="24"/>
              </w:rPr>
            </w:pPr>
            <w:r w:rsidRPr="001650D3">
              <w:rPr>
                <w:rFonts w:ascii="Times New Roman" w:eastAsia="Times New Roman" w:hAnsi="Times New Roman" w:cs="Times New Roman"/>
                <w:b/>
                <w:bCs/>
                <w:sz w:val="24"/>
                <w:szCs w:val="24"/>
              </w:rPr>
              <w:t>Required survival condition</w:t>
            </w:r>
          </w:p>
        </w:tc>
      </w:tr>
      <w:tr w:rsidR="001650D3" w:rsidRPr="001650D3" w14:paraId="595F1FE7" w14:textId="77777777">
        <w:trPr>
          <w:tblCellSpacing w:w="15" w:type="dxa"/>
        </w:trPr>
        <w:tc>
          <w:tcPr>
            <w:tcW w:w="0" w:type="auto"/>
            <w:vAlign w:val="center"/>
            <w:hideMark/>
          </w:tcPr>
          <w:p w14:paraId="03EA1F85"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Gravity</w:t>
            </w:r>
          </w:p>
        </w:tc>
        <w:tc>
          <w:tcPr>
            <w:tcW w:w="0" w:type="auto"/>
            <w:vAlign w:val="center"/>
            <w:hideMark/>
          </w:tcPr>
          <w:p w14:paraId="47C7DC66"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0.3–1.0 g artificial gravity, ramped slowly</w:t>
            </w:r>
          </w:p>
        </w:tc>
      </w:tr>
      <w:tr w:rsidR="001650D3" w:rsidRPr="001650D3" w14:paraId="48158C1A" w14:textId="77777777">
        <w:trPr>
          <w:tblCellSpacing w:w="15" w:type="dxa"/>
        </w:trPr>
        <w:tc>
          <w:tcPr>
            <w:tcW w:w="0" w:type="auto"/>
            <w:vAlign w:val="center"/>
            <w:hideMark/>
          </w:tcPr>
          <w:p w14:paraId="3157BB82"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Time synchronization</w:t>
            </w:r>
          </w:p>
        </w:tc>
        <w:tc>
          <w:tcPr>
            <w:tcW w:w="0" w:type="auto"/>
            <w:vAlign w:val="center"/>
            <w:hideMark/>
          </w:tcPr>
          <w:p w14:paraId="0DC134DC"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Earth clock, ship clock, and body clock held near ΔT ≈ 0</w:t>
            </w:r>
          </w:p>
        </w:tc>
      </w:tr>
      <w:tr w:rsidR="001650D3" w:rsidRPr="001650D3" w14:paraId="7E94EFBE" w14:textId="77777777">
        <w:trPr>
          <w:tblCellSpacing w:w="15" w:type="dxa"/>
        </w:trPr>
        <w:tc>
          <w:tcPr>
            <w:tcW w:w="0" w:type="auto"/>
            <w:vAlign w:val="center"/>
            <w:hideMark/>
          </w:tcPr>
          <w:p w14:paraId="7DAC936A"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Radiation</w:t>
            </w:r>
          </w:p>
        </w:tc>
        <w:tc>
          <w:tcPr>
            <w:tcW w:w="0" w:type="auto"/>
            <w:vAlign w:val="center"/>
            <w:hideMark/>
          </w:tcPr>
          <w:p w14:paraId="60A03EC5"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Continuous dosimetry and shielding from ionizing bursts</w:t>
            </w:r>
          </w:p>
        </w:tc>
      </w:tr>
      <w:tr w:rsidR="001650D3" w:rsidRPr="001650D3" w14:paraId="5E2A329D" w14:textId="77777777">
        <w:trPr>
          <w:tblCellSpacing w:w="15" w:type="dxa"/>
        </w:trPr>
        <w:tc>
          <w:tcPr>
            <w:tcW w:w="0" w:type="auto"/>
            <w:vAlign w:val="center"/>
            <w:hideMark/>
          </w:tcPr>
          <w:p w14:paraId="32BE469B"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Atmosphere</w:t>
            </w:r>
          </w:p>
        </w:tc>
        <w:tc>
          <w:tcPr>
            <w:tcW w:w="0" w:type="auto"/>
            <w:vAlign w:val="center"/>
            <w:hideMark/>
          </w:tcPr>
          <w:p w14:paraId="48A78871"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Earth-like oxygen, pressure, humidity, and CO₂ control</w:t>
            </w:r>
          </w:p>
        </w:tc>
      </w:tr>
      <w:tr w:rsidR="001650D3" w:rsidRPr="001650D3" w14:paraId="6AF984B7" w14:textId="77777777">
        <w:trPr>
          <w:tblCellSpacing w:w="15" w:type="dxa"/>
        </w:trPr>
        <w:tc>
          <w:tcPr>
            <w:tcW w:w="0" w:type="auto"/>
            <w:vAlign w:val="center"/>
            <w:hideMark/>
          </w:tcPr>
          <w:p w14:paraId="13E48987"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Temperature</w:t>
            </w:r>
          </w:p>
        </w:tc>
        <w:tc>
          <w:tcPr>
            <w:tcW w:w="0" w:type="auto"/>
            <w:vAlign w:val="center"/>
            <w:hideMark/>
          </w:tcPr>
          <w:p w14:paraId="417CC760"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20–26 °C stable cabin environment</w:t>
            </w:r>
          </w:p>
        </w:tc>
      </w:tr>
      <w:tr w:rsidR="001650D3" w:rsidRPr="001650D3" w14:paraId="4B0211CE" w14:textId="77777777">
        <w:trPr>
          <w:tblCellSpacing w:w="15" w:type="dxa"/>
        </w:trPr>
        <w:tc>
          <w:tcPr>
            <w:tcW w:w="0" w:type="auto"/>
            <w:vAlign w:val="center"/>
            <w:hideMark/>
          </w:tcPr>
          <w:p w14:paraId="01654E54"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Circadian rhythm</w:t>
            </w:r>
          </w:p>
        </w:tc>
        <w:tc>
          <w:tcPr>
            <w:tcW w:w="0" w:type="auto"/>
            <w:vAlign w:val="center"/>
            <w:hideMark/>
          </w:tcPr>
          <w:p w14:paraId="267AAB15"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24-hour light/dark cycle to protect human sleep and hormones</w:t>
            </w:r>
          </w:p>
        </w:tc>
      </w:tr>
      <w:tr w:rsidR="001650D3" w:rsidRPr="001650D3" w14:paraId="23C68FD5" w14:textId="77777777">
        <w:trPr>
          <w:tblCellSpacing w:w="15" w:type="dxa"/>
        </w:trPr>
        <w:tc>
          <w:tcPr>
            <w:tcW w:w="0" w:type="auto"/>
            <w:vAlign w:val="center"/>
            <w:hideMark/>
          </w:tcPr>
          <w:p w14:paraId="2971F4A0"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Species coexistence</w:t>
            </w:r>
          </w:p>
        </w:tc>
        <w:tc>
          <w:tcPr>
            <w:tcW w:w="0" w:type="auto"/>
            <w:vAlign w:val="center"/>
            <w:hideMark/>
          </w:tcPr>
          <w:p w14:paraId="13C265C2"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Shared cabin must balance pressure, gravity, sound, light, pathogens, and time-cycle exposure</w:t>
            </w:r>
          </w:p>
        </w:tc>
      </w:tr>
      <w:tr w:rsidR="001650D3" w:rsidRPr="001650D3" w14:paraId="581031AF" w14:textId="77777777">
        <w:trPr>
          <w:tblCellSpacing w:w="15" w:type="dxa"/>
        </w:trPr>
        <w:tc>
          <w:tcPr>
            <w:tcW w:w="0" w:type="auto"/>
            <w:vAlign w:val="center"/>
            <w:hideMark/>
          </w:tcPr>
          <w:p w14:paraId="13889561"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Emergency release</w:t>
            </w:r>
          </w:p>
        </w:tc>
        <w:tc>
          <w:tcPr>
            <w:tcW w:w="0" w:type="auto"/>
            <w:vAlign w:val="center"/>
            <w:hideMark/>
          </w:tcPr>
          <w:p w14:paraId="79D76A26" w14:textId="77777777" w:rsidR="001650D3" w:rsidRPr="001650D3" w:rsidRDefault="001650D3" w:rsidP="001650D3">
            <w:pPr>
              <w:spacing w:after="0"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Return protocol must match Earth time stamp before reentry or drop-off</w:t>
            </w:r>
          </w:p>
        </w:tc>
      </w:tr>
    </w:tbl>
    <w:p w14:paraId="004EE669"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b/>
          <w:bCs/>
          <w:sz w:val="24"/>
          <w:szCs w:val="24"/>
        </w:rPr>
        <w:t>Main Conclusion</w:t>
      </w:r>
    </w:p>
    <w:p w14:paraId="6DEA09D5" w14:textId="77777777" w:rsid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The upgraded theory is that humans could survive alleged spacecraft abduction or advanced warp travel only if the ship maintains CST synchronization. The person must not simply be “inside the ship”; they must be inside a protected CST life-zone where gravity, radiation, biological rhythm, and clock rate remain in equilibrium with Earth. If synchronization fails, the traveler could return younger, older, disoriented, or biologically damaged. If synchronization works, the person could be gone for seconds, minutes, hours, days, or years externally while still aging close to normal human Earth time internally.</w:t>
      </w:r>
    </w:p>
    <w:p w14:paraId="74AED3D8" w14:textId="77777777" w:rsidR="001650D3" w:rsidRDefault="001650D3" w:rsidP="001650D3">
      <w:pPr>
        <w:spacing w:before="100" w:beforeAutospacing="1" w:after="100" w:afterAutospacing="1" w:line="240" w:lineRule="auto"/>
        <w:rPr>
          <w:rFonts w:ascii="Times New Roman" w:hAnsi="Times New Roman" w:cs="Times New Roman"/>
          <w:sz w:val="24"/>
          <w:szCs w:val="24"/>
        </w:rPr>
      </w:pPr>
      <w:r w:rsidRPr="001650D3">
        <w:rPr>
          <w:rFonts w:ascii="Times New Roman" w:hAnsi="Times New Roman" w:cs="Times New Roman"/>
          <w:sz w:val="24"/>
          <w:szCs w:val="24"/>
        </w:rPr>
        <w:t xml:space="preserve">CST synchronization is not only a matter of matching ship time with Earth </w:t>
      </w:r>
      <w:r w:rsidRPr="001650D3">
        <w:rPr>
          <w:rFonts w:ascii="Times New Roman" w:hAnsi="Times New Roman" w:cs="Times New Roman"/>
          <w:sz w:val="24"/>
          <w:szCs w:val="24"/>
        </w:rPr>
        <w:t>time but</w:t>
      </w:r>
      <w:r w:rsidRPr="001650D3">
        <w:rPr>
          <w:rFonts w:ascii="Times New Roman" w:hAnsi="Times New Roman" w:cs="Times New Roman"/>
          <w:sz w:val="24"/>
          <w:szCs w:val="24"/>
        </w:rPr>
        <w:t xml:space="preserve"> also achieving biological equilibrium between two living species sharing the same environment. If humans and non-human beings can exist together inside the same spacecraft without immediate biological failure—breathing compatible air, tolerating similar pressure, gravity, temperature, and electromagnetic exposure—then this suggests a deeper common timing system in biology itself. </w:t>
      </w:r>
    </w:p>
    <w:p w14:paraId="2662A35B" w14:textId="3121B1CD" w:rsidR="001650D3" w:rsidRDefault="001650D3" w:rsidP="001650D3">
      <w:pPr>
        <w:spacing w:before="100" w:beforeAutospacing="1" w:after="100" w:afterAutospacing="1" w:line="240" w:lineRule="auto"/>
        <w:rPr>
          <w:rFonts w:ascii="Times New Roman" w:hAnsi="Times New Roman" w:cs="Times New Roman"/>
          <w:sz w:val="24"/>
          <w:szCs w:val="24"/>
        </w:rPr>
      </w:pPr>
      <w:r w:rsidRPr="001650D3">
        <w:rPr>
          <w:rFonts w:ascii="Times New Roman" w:hAnsi="Times New Roman" w:cs="Times New Roman"/>
          <w:sz w:val="24"/>
          <w:szCs w:val="24"/>
        </w:rPr>
        <w:lastRenderedPageBreak/>
        <w:t xml:space="preserve">There are two theoretical possibilities: first, their home world may exist in a planetary environment naturally close to Earth’s CST rhythm, where day-night cycles, gravity, atmospheric chemistry, and biological metabolism produce similar internal clocks; second, they may possess advanced control of time synchronization, allowing their bodies to adjust to Earth-equivalent biological timing during contact. Reports and stories such as the unverified Area 51 nurse testimony are not scientific proof, but they raise an important theoretical point: if an alien organism could survive in Earth conditions and humans could return from contact without major biological harm, then both species may operate within a compatible chronobiological window. </w:t>
      </w:r>
    </w:p>
    <w:p w14:paraId="690C175F" w14:textId="715A0AF1" w:rsidR="001650D3" w:rsidRPr="001650D3" w:rsidRDefault="001650D3" w:rsidP="001650D3">
      <w:pPr>
        <w:spacing w:before="100" w:beforeAutospacing="1" w:after="100" w:afterAutospacing="1" w:line="240" w:lineRule="auto"/>
        <w:rPr>
          <w:rFonts w:ascii="Times New Roman" w:eastAsia="Times New Roman" w:hAnsi="Times New Roman" w:cs="Times New Roman"/>
          <w:sz w:val="28"/>
          <w:szCs w:val="28"/>
        </w:rPr>
      </w:pPr>
      <w:r w:rsidRPr="001650D3">
        <w:rPr>
          <w:rFonts w:ascii="Times New Roman" w:hAnsi="Times New Roman" w:cs="Times New Roman"/>
          <w:sz w:val="24"/>
          <w:szCs w:val="24"/>
        </w:rPr>
        <w:t>Just as microbes, animals, and humans on Earth evolved differently yet still follow shared biochemical laws, another species elsewhere may have undergone mutation, adaptation, extinction events, and biological resets while still converging toward similar oxygen use, circadian rhythm, and cellular timing. The key indicator is not appearance, but whether both bodies can remain stable under the same CST biological clock without rapid aging, immune collapse, or temporal imbalance.</w:t>
      </w:r>
    </w:p>
    <w:p w14:paraId="4688195B"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b/>
          <w:bCs/>
          <w:sz w:val="24"/>
          <w:szCs w:val="24"/>
        </w:rPr>
        <w:t>References</w:t>
      </w:r>
    </w:p>
    <w:p w14:paraId="6E418C5A" w14:textId="77777777" w:rsidR="001650D3" w:rsidRPr="001650D3" w:rsidRDefault="001650D3" w:rsidP="001650D3">
      <w:pPr>
        <w:spacing w:before="100" w:beforeAutospacing="1" w:after="100" w:afterAutospacing="1" w:line="240" w:lineRule="auto"/>
        <w:rPr>
          <w:rFonts w:ascii="Times New Roman" w:eastAsia="Times New Roman" w:hAnsi="Times New Roman" w:cs="Times New Roman"/>
          <w:sz w:val="24"/>
          <w:szCs w:val="24"/>
        </w:rPr>
      </w:pPr>
      <w:r w:rsidRPr="001650D3">
        <w:rPr>
          <w:rFonts w:ascii="Times New Roman" w:eastAsia="Times New Roman" w:hAnsi="Times New Roman" w:cs="Times New Roman"/>
          <w:sz w:val="24"/>
          <w:szCs w:val="24"/>
        </w:rPr>
        <w:t>NASA UAP Independent Study Team Report, 2023.</w:t>
      </w:r>
      <w:r w:rsidRPr="001650D3">
        <w:rPr>
          <w:rFonts w:ascii="Times New Roman" w:eastAsia="Times New Roman" w:hAnsi="Times New Roman" w:cs="Times New Roman"/>
          <w:sz w:val="24"/>
          <w:szCs w:val="24"/>
        </w:rPr>
        <w:br/>
        <w:t>AARO Historical Record Report, U.S. Department of Defense, 2024.</w:t>
      </w:r>
      <w:r w:rsidRPr="001650D3">
        <w:rPr>
          <w:rFonts w:ascii="Times New Roman" w:eastAsia="Times New Roman" w:hAnsi="Times New Roman" w:cs="Times New Roman"/>
          <w:sz w:val="24"/>
          <w:szCs w:val="24"/>
        </w:rPr>
        <w:br/>
        <w:t>Public reports on São Francisco de Sales 1957, New Hampshire 1961, Pascagoula 1973, Arizona 1975, Allagash 1976, and Manhattan 1989 cases cited above.</w:t>
      </w:r>
    </w:p>
    <w:p w14:paraId="22C6122F" w14:textId="529AA97D" w:rsidR="00805F6B" w:rsidRPr="001650D3" w:rsidRDefault="001650D3" w:rsidP="001650D3">
      <w:r>
        <w:rPr>
          <w:noProof/>
        </w:rPr>
        <w:drawing>
          <wp:inline distT="0" distB="0" distL="0" distR="0" wp14:anchorId="12650917" wp14:editId="656E26FF">
            <wp:extent cx="5486400" cy="3657600"/>
            <wp:effectExtent l="0" t="0" r="0" b="0"/>
            <wp:docPr id="7862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6387" name="Picture 78626387"/>
                    <pic:cNvPicPr/>
                  </pic:nvPicPr>
                  <pic:blipFill>
                    <a:blip r:embed="rId6"/>
                    <a:stretch>
                      <a:fillRect/>
                    </a:stretch>
                  </pic:blipFill>
                  <pic:spPr>
                    <a:xfrm>
                      <a:off x="0" y="0"/>
                      <a:ext cx="5486400" cy="3657600"/>
                    </a:xfrm>
                    <a:prstGeom prst="rect">
                      <a:avLst/>
                    </a:prstGeom>
                  </pic:spPr>
                </pic:pic>
              </a:graphicData>
            </a:graphic>
          </wp:inline>
        </w:drawing>
      </w:r>
    </w:p>
    <w:sectPr w:rsidR="00805F6B" w:rsidRPr="001650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252721">
    <w:abstractNumId w:val="8"/>
  </w:num>
  <w:num w:numId="2" w16cid:durableId="274216767">
    <w:abstractNumId w:val="6"/>
  </w:num>
  <w:num w:numId="3" w16cid:durableId="144006822">
    <w:abstractNumId w:val="5"/>
  </w:num>
  <w:num w:numId="4" w16cid:durableId="1965310897">
    <w:abstractNumId w:val="4"/>
  </w:num>
  <w:num w:numId="5" w16cid:durableId="1378313645">
    <w:abstractNumId w:val="7"/>
  </w:num>
  <w:num w:numId="6" w16cid:durableId="1680156000">
    <w:abstractNumId w:val="3"/>
  </w:num>
  <w:num w:numId="7" w16cid:durableId="1327628675">
    <w:abstractNumId w:val="2"/>
  </w:num>
  <w:num w:numId="8" w16cid:durableId="17047797">
    <w:abstractNumId w:val="1"/>
  </w:num>
  <w:num w:numId="9" w16cid:durableId="5632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0D3"/>
    <w:rsid w:val="0029639D"/>
    <w:rsid w:val="00326F90"/>
    <w:rsid w:val="00805F6B"/>
    <w:rsid w:val="00AA1D8D"/>
    <w:rsid w:val="00B47730"/>
    <w:rsid w:val="00C249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56A02"/>
  <w14:defaultImageDpi w14:val="300"/>
  <w15:docId w15:val="{3525A9EE-5187-46B1-B248-F9B5B3B6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2026-04-26T07:25:00Z</dcterms:modified>
  <cp:category/>
</cp:coreProperties>
</file>