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960C7" w14:textId="77777777" w:rsidR="00A32946" w:rsidRPr="00A32946" w:rsidRDefault="00A32946" w:rsidP="00A329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2946">
        <w:rPr>
          <w:rFonts w:ascii="Times New Roman" w:eastAsia="Times New Roman" w:hAnsi="Times New Roman" w:cs="Times New Roman"/>
          <w:b/>
          <w:bCs/>
          <w:kern w:val="36"/>
          <w:sz w:val="48"/>
          <w:szCs w:val="48"/>
        </w:rPr>
        <w:t>Warp-Drive Energy Symmetry Engine</w:t>
      </w:r>
    </w:p>
    <w:p w14:paraId="18728C96"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A Theoretical Framework for Anisotropic Stress–Energy, Photon Asymmetry, and Temporal Synchronization</w:t>
      </w:r>
    </w:p>
    <w:p w14:paraId="7D88053E"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Abstract</w:t>
      </w:r>
    </w:p>
    <w:p w14:paraId="663E28E9"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This work presents an extended theoretical framework for a warp-drive propulsion concept based on energy–matter symmetry, quantum vacuum dynamics, and temporal synchronization. The model investigates whether controlled photon–pair creation and annihilation cycles, when driven by physically realizable energy systems such as nuclear power sources or plasma propulsion engines, can produce anisotropic stress–energy distributions sufficient to induce directional spacetime curvature. A synchronization parameter, termed Curvature Synchronization Time (CST), is introduced as a phase-control mechanism linking energy cycles to relativistic timing references, including atomic clocks, Coordinated Universal Time (UTC), and interstellar clocks derived from deep-space probes such as Voyager 1 and Voyager 2. The framework develops a single governing expression for an anisotropic stress–energy tensor and establishes energy accounting, geometric interpretation, and falsifiability conditions. The proposal remains theoretical and is intended as a testable extension of known physics rather than a validated propulsion model.</w:t>
      </w:r>
    </w:p>
    <w:p w14:paraId="1942508B"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Introduction</w:t>
      </w:r>
    </w:p>
    <w:p w14:paraId="2018A3F6" w14:textId="6FD9C9C1"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Warp-drive concepts derived from the Einstein Field Equations describe spacetime curvature as a function of stress–energy distribution. The Alcubierre metric demonstrates that effective superluminal motion may be achieved through spacetime contraction and </w:t>
      </w:r>
      <w:r w:rsidRPr="00A32946">
        <w:rPr>
          <w:rFonts w:ascii="Times New Roman" w:eastAsia="Times New Roman" w:hAnsi="Times New Roman" w:cs="Times New Roman"/>
          <w:sz w:val="24"/>
          <w:szCs w:val="24"/>
        </w:rPr>
        <w:t>expansion but</w:t>
      </w:r>
      <w:r w:rsidRPr="00A32946">
        <w:rPr>
          <w:rFonts w:ascii="Times New Roman" w:eastAsia="Times New Roman" w:hAnsi="Times New Roman" w:cs="Times New Roman"/>
          <w:sz w:val="24"/>
          <w:szCs w:val="24"/>
        </w:rPr>
        <w:t xml:space="preserve"> requires negative energy density not currently realizable.</w:t>
      </w:r>
    </w:p>
    <w:p w14:paraId="6C56E86F" w14:textId="0B37F3F1"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This work proposes an alternative approach based on </w:t>
      </w:r>
      <w:r w:rsidRPr="00A32946">
        <w:rPr>
          <w:rFonts w:ascii="Times New Roman" w:eastAsia="Times New Roman" w:hAnsi="Times New Roman" w:cs="Times New Roman"/>
          <w:b/>
          <w:bCs/>
          <w:sz w:val="24"/>
          <w:szCs w:val="24"/>
        </w:rPr>
        <w:t xml:space="preserve">dynamic </w:t>
      </w:r>
      <w:r w:rsidRPr="00A32946">
        <w:rPr>
          <w:rFonts w:ascii="Times New Roman" w:eastAsia="Times New Roman" w:hAnsi="Times New Roman" w:cs="Times New Roman"/>
          <w:b/>
          <w:bCs/>
          <w:sz w:val="24"/>
          <w:szCs w:val="24"/>
        </w:rPr>
        <w:t>symmetrical</w:t>
      </w:r>
      <w:r w:rsidRPr="00A32946">
        <w:rPr>
          <w:rFonts w:ascii="Times New Roman" w:eastAsia="Times New Roman" w:hAnsi="Times New Roman" w:cs="Times New Roman"/>
          <w:b/>
          <w:bCs/>
          <w:sz w:val="24"/>
          <w:szCs w:val="24"/>
        </w:rPr>
        <w:t xml:space="preserve"> breaking</w:t>
      </w:r>
      <w:r w:rsidRPr="00A32946">
        <w:rPr>
          <w:rFonts w:ascii="Times New Roman" w:eastAsia="Times New Roman" w:hAnsi="Times New Roman" w:cs="Times New Roman"/>
          <w:sz w:val="24"/>
          <w:szCs w:val="24"/>
        </w:rPr>
        <w:t xml:space="preserve"> rather than static exotic matter. The central hypothesis is that photon–pair cycles, when driven by high-energy sources such as nuclear reactors or plasma propulsion systems, can be engineered such that one photon escapes while the second photon is absorbed, redirected, or temporally delayed. This controlled asymmetry generates a non-zero net momentum distribution, producing an anisotropic stress–energy tensor.</w:t>
      </w:r>
    </w:p>
    <w:p w14:paraId="5D1FE2E2"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The key question is whether such engineered asymmetry, combined with temporal phase synchronization, can generate measurable curvature gradients without violating conservation laws.</w:t>
      </w:r>
    </w:p>
    <w:p w14:paraId="31B70AE5"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Theoretical Foundations</w:t>
      </w:r>
    </w:p>
    <w:p w14:paraId="5629BD72"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Spacetime </w:t>
      </w:r>
      <w:proofErr w:type="gramStart"/>
      <w:r w:rsidRPr="00A32946">
        <w:rPr>
          <w:rFonts w:ascii="Times New Roman" w:eastAsia="Times New Roman" w:hAnsi="Times New Roman" w:cs="Times New Roman"/>
          <w:sz w:val="24"/>
          <w:szCs w:val="24"/>
        </w:rPr>
        <w:t>curvature</w:t>
      </w:r>
      <w:proofErr w:type="gramEnd"/>
      <w:r w:rsidRPr="00A32946">
        <w:rPr>
          <w:rFonts w:ascii="Times New Roman" w:eastAsia="Times New Roman" w:hAnsi="Times New Roman" w:cs="Times New Roman"/>
          <w:sz w:val="24"/>
          <w:szCs w:val="24"/>
        </w:rPr>
        <w:t xml:space="preserve"> is governed by:</w:t>
      </w:r>
    </w:p>
    <w:p w14:paraId="1A55987B" w14:textId="77777777" w:rsidR="00A32946" w:rsidRPr="00A32946" w:rsidRDefault="00A32946" w:rsidP="00A32946">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60C766E5"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Mass–energy equivalence defines the available energy conversion:</w:t>
      </w:r>
    </w:p>
    <w:p w14:paraId="5CC35294" w14:textId="77777777" w:rsidR="00A32946" w:rsidRPr="00A32946" w:rsidRDefault="00A32946" w:rsidP="00A32946">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Para>
    </w:p>
    <w:p w14:paraId="4C43ED7A"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lastRenderedPageBreak/>
        <w:t>This relation becomes operational in propulsion systems where chemical, nuclear, or plasma energy sources are converted into high-energy photon fields.</w:t>
      </w:r>
    </w:p>
    <w:p w14:paraId="64FA48DF"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Within Quantum Electrodynamics, photon–pair processes are given by:</w:t>
      </w:r>
    </w:p>
    <w:p w14:paraId="70CA6DE6" w14:textId="77777777" w:rsidR="00A32946" w:rsidRPr="00A32946" w:rsidRDefault="00A32946" w:rsidP="00A32946">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γ→</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→2γ</m:t>
          </m:r>
          <m:r>
            <w:rPr>
              <w:rFonts w:ascii="Cambria Math" w:eastAsia="Times New Roman" w:hAnsi="Cambria Math" w:cs="Times New Roman"/>
              <w:i/>
              <w:sz w:val="24"/>
              <w:szCs w:val="24"/>
            </w:rPr>
            <w:br/>
          </m:r>
        </m:oMath>
      </m:oMathPara>
    </w:p>
    <w:p w14:paraId="20E6F70F" w14:textId="5E70EEB9"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Under symmetric conditions, momentum </w:t>
      </w:r>
      <w:r w:rsidRPr="00A32946">
        <w:rPr>
          <w:rFonts w:ascii="Times New Roman" w:eastAsia="Times New Roman" w:hAnsi="Times New Roman" w:cs="Times New Roman"/>
          <w:sz w:val="24"/>
          <w:szCs w:val="24"/>
        </w:rPr>
        <w:t>is cancelled</w:t>
      </w:r>
      <w:r w:rsidRPr="00A32946">
        <w:rPr>
          <w:rFonts w:ascii="Times New Roman" w:eastAsia="Times New Roman" w:hAnsi="Times New Roman" w:cs="Times New Roman"/>
          <w:sz w:val="24"/>
          <w:szCs w:val="24"/>
        </w:rPr>
        <w:t xml:space="preserve">. However, the present framework introduces </w:t>
      </w:r>
      <w:r w:rsidRPr="00A32946">
        <w:rPr>
          <w:rFonts w:ascii="Times New Roman" w:eastAsia="Times New Roman" w:hAnsi="Times New Roman" w:cs="Times New Roman"/>
          <w:b/>
          <w:bCs/>
          <w:sz w:val="24"/>
          <w:szCs w:val="24"/>
        </w:rPr>
        <w:t>engineered asymmetry</w:t>
      </w:r>
      <w:r w:rsidRPr="00A32946">
        <w:rPr>
          <w:rFonts w:ascii="Times New Roman" w:eastAsia="Times New Roman" w:hAnsi="Times New Roman" w:cs="Times New Roman"/>
          <w:sz w:val="24"/>
          <w:szCs w:val="24"/>
        </w:rPr>
        <w:t>:</w:t>
      </w:r>
    </w:p>
    <w:p w14:paraId="57A0C082" w14:textId="77777777" w:rsidR="00A32946" w:rsidRPr="00A32946" w:rsidRDefault="00A32946" w:rsidP="00A32946">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m:rPr>
                  <m:nor/>
                </m:rPr>
                <w:rPr>
                  <w:rFonts w:ascii="Times New Roman" w:eastAsia="Times New Roman" w:hAnsi="Times New Roman" w:cs="Times New Roman"/>
                  <w:sz w:val="24"/>
                  <w:szCs w:val="24"/>
                </w:rPr>
                <m:t>escape</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m:rPr>
                  <m:nor/>
                </m:rPr>
                <w:rPr>
                  <w:rFonts w:ascii="Times New Roman" w:eastAsia="Times New Roman" w:hAnsi="Times New Roman" w:cs="Times New Roman"/>
                  <w:sz w:val="24"/>
                  <w:szCs w:val="24"/>
                </w:rPr>
                <m:t>absorb/delay</m:t>
              </m:r>
            </m:sub>
          </m:sSub>
          <m:r>
            <w:rPr>
              <w:rFonts w:ascii="Cambria Math" w:eastAsia="Times New Roman" w:hAnsi="Cambria Math" w:cs="Times New Roman"/>
              <w:sz w:val="24"/>
              <w:szCs w:val="24"/>
            </w:rPr>
            <w:br/>
          </m:r>
        </m:oMath>
      </m:oMathPara>
    </w:p>
    <w:p w14:paraId="4D060EB2"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where one photon contributes to net momentum flow and the other is internally redistributed.</w:t>
      </w:r>
    </w:p>
    <w:p w14:paraId="3C767B84"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Energy Source Realization</w:t>
      </w:r>
    </w:p>
    <w:p w14:paraId="286D4BB3" w14:textId="74BE95EB"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The feasibility of initiating photon–pair cycles </w:t>
      </w:r>
      <w:r w:rsidRPr="00A32946">
        <w:rPr>
          <w:rFonts w:ascii="Times New Roman" w:eastAsia="Times New Roman" w:hAnsi="Times New Roman" w:cs="Times New Roman"/>
          <w:sz w:val="24"/>
          <w:szCs w:val="24"/>
        </w:rPr>
        <w:t>depend</w:t>
      </w:r>
      <w:r w:rsidRPr="00A32946">
        <w:rPr>
          <w:rFonts w:ascii="Times New Roman" w:eastAsia="Times New Roman" w:hAnsi="Times New Roman" w:cs="Times New Roman"/>
          <w:sz w:val="24"/>
          <w:szCs w:val="24"/>
        </w:rPr>
        <w:t xml:space="preserve"> on available energy density. Nuclear fission and fusion systems provide high energy flux, while advanced plasma propulsion systems generate ionized environments capable of producing high-energy electromagnetic radiation.</w:t>
      </w:r>
    </w:p>
    <w:p w14:paraId="03FDD637"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In early-stage implementations, chemical rockets and plasma thrusters serve as energy delivery systems rather than direct curvature generators. These systems convert stored energy into directed plasma and radiation fields. Over time, more advanced nuclear or fusion-based systems may provide sufficient energy density to sustain controlled photon–pair environments.</w:t>
      </w:r>
    </w:p>
    <w:p w14:paraId="3C0FBAB2" w14:textId="295E54A4"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The transformation </w:t>
      </w:r>
      <m:oMath>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oMath>
      <w:r w:rsidRPr="00A32946">
        <w:rPr>
          <w:rFonts w:ascii="Times New Roman" w:eastAsia="Times New Roman" w:hAnsi="Times New Roman" w:cs="Times New Roman"/>
          <w:sz w:val="24"/>
          <w:szCs w:val="24"/>
        </w:rPr>
        <w:t xml:space="preserve">does not imply mass creation in this </w:t>
      </w:r>
      <w:r w:rsidRPr="00A32946">
        <w:rPr>
          <w:rFonts w:ascii="Times New Roman" w:eastAsia="Times New Roman" w:hAnsi="Times New Roman" w:cs="Times New Roman"/>
          <w:sz w:val="24"/>
          <w:szCs w:val="24"/>
        </w:rPr>
        <w:t>context but</w:t>
      </w:r>
      <w:r w:rsidRPr="00A32946">
        <w:rPr>
          <w:rFonts w:ascii="Times New Roman" w:eastAsia="Times New Roman" w:hAnsi="Times New Roman" w:cs="Times New Roman"/>
          <w:sz w:val="24"/>
          <w:szCs w:val="24"/>
        </w:rPr>
        <w:t xml:space="preserve"> rather defines the energy scale required for pair production and photon field intensity.</w:t>
      </w:r>
    </w:p>
    <w:p w14:paraId="613BBC56"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Governing Equation for Anisotropic Stress–Energy</w:t>
      </w:r>
    </w:p>
    <w:p w14:paraId="4BB50F4D"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The central contribution of this work is the formulation of a single governing expression for anisotropic stress–energy driven by asymmetric photon cycles:</w:t>
      </w:r>
    </w:p>
    <w:p w14:paraId="7C18D190" w14:textId="77777777" w:rsidR="00A32946" w:rsidRPr="00A32946" w:rsidRDefault="00A32946" w:rsidP="00A32946">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V</m:t>
              </m:r>
            </m:den>
          </m:f>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∑(γ</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μ</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ν</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t>
                  </m:r>
                </m:e>
                <m:sub>
                  <m:r>
                    <m:rPr>
                      <m:nor/>
                    </m:rPr>
                    <w:rPr>
                      <w:rFonts w:ascii="Times New Roman" w:eastAsia="Times New Roman" w:hAnsi="Times New Roman" w:cs="Times New Roman"/>
                      <w:sz w:val="24"/>
                      <w:szCs w:val="24"/>
                    </w:rPr>
                    <m:t>escape</m:t>
                  </m:r>
                </m:sub>
              </m:sSub>
              <m:r>
                <w:rPr>
                  <w:rFonts w:ascii="Cambria Math" w:eastAsia="Times New Roman" w:hAnsi="Cambria Math" w:cs="Times New Roman"/>
                  <w:sz w:val="24"/>
                  <w:szCs w:val="24"/>
                </w:rPr>
                <m:t>-∑(γ</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μ</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ν</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t>
                  </m:r>
                </m:e>
                <m:sub>
                  <m:r>
                    <m:rPr>
                      <m:nor/>
                    </m:rPr>
                    <w:rPr>
                      <w:rFonts w:ascii="Times New Roman" w:eastAsia="Times New Roman" w:hAnsi="Times New Roman" w:cs="Times New Roman"/>
                      <w:sz w:val="24"/>
                      <w:szCs w:val="24"/>
                    </w:rPr>
                    <m:t>absorb</m:t>
                  </m:r>
                </m:sub>
              </m:sSub>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m:rPr>
                      <m:nor/>
                    </m:rPr>
                    <w:rPr>
                      <w:rFonts w:ascii="Times New Roman" w:eastAsia="Times New Roman" w:hAnsi="Times New Roman" w:cs="Times New Roman"/>
                      <w:sz w:val="24"/>
                      <w:szCs w:val="24"/>
                    </w:rPr>
                    <m:t>field</m:t>
                  </m:r>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m:rPr>
                      <m:nor/>
                    </m:rPr>
                    <w:rPr>
                      <w:rFonts w:ascii="Times New Roman" w:eastAsia="Times New Roman" w:hAnsi="Times New Roman" w:cs="Times New Roman"/>
                      <w:sz w:val="24"/>
                      <w:szCs w:val="24"/>
                    </w:rPr>
                    <m:t>CST</m:t>
                  </m:r>
                </m:sup>
              </m:sSubSup>
            </m:e>
          </m:d>
          <m:r>
            <w:rPr>
              <w:rFonts w:ascii="Cambria Math" w:eastAsia="Times New Roman" w:hAnsi="Cambria Math" w:cs="Times New Roman"/>
              <w:sz w:val="24"/>
              <w:szCs w:val="24"/>
            </w:rPr>
            <w:br/>
          </m:r>
        </m:oMath>
      </m:oMathPara>
    </w:p>
    <w:p w14:paraId="5F2C8449"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where:</w:t>
      </w:r>
    </w:p>
    <w:p w14:paraId="49DBD1D7" w14:textId="77777777" w:rsidR="00A32946" w:rsidRPr="00A32946" w:rsidRDefault="00A32946" w:rsidP="00A32946">
      <w:pPr>
        <w:numPr>
          <w:ilvl w:val="0"/>
          <w:numId w:val="10"/>
        </w:numPr>
        <w:spacing w:before="100" w:beforeAutospacing="1" w:after="100" w:afterAutospacing="1" w:line="240" w:lineRule="auto"/>
        <w:rPr>
          <w:rFonts w:ascii="Times New Roman" w:eastAsia="Times New Roman" w:hAnsi="Times New Roman" w:cs="Times New Roman"/>
          <w:sz w:val="24"/>
          <w:szCs w:val="24"/>
        </w:rPr>
      </w:pPr>
      <m:oMath>
        <m:d>
          <m:dPr>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γ</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μ</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ν</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t>
                </m:r>
              </m:e>
              <m:sub>
                <m:r>
                  <m:rPr>
                    <m:nor/>
                  </m:rPr>
                  <w:rPr>
                    <w:rFonts w:ascii="Times New Roman" w:eastAsia="Times New Roman" w:hAnsi="Times New Roman" w:cs="Times New Roman"/>
                    <w:sz w:val="24"/>
                    <w:szCs w:val="24"/>
                  </w:rPr>
                  <m:t>escape</m:t>
                </m:r>
              </m:sub>
            </m:sSub>
          </m:e>
        </m:d>
      </m:oMath>
      <w:r w:rsidRPr="00A32946">
        <w:rPr>
          <w:rFonts w:ascii="Times New Roman" w:eastAsia="Times New Roman" w:hAnsi="Times New Roman" w:cs="Times New Roman"/>
          <w:sz w:val="24"/>
          <w:szCs w:val="24"/>
        </w:rPr>
        <w:t xml:space="preserve">represents outward photon momentum contributions </w:t>
      </w:r>
    </w:p>
    <w:p w14:paraId="110DFF79" w14:textId="77777777" w:rsidR="00A32946" w:rsidRPr="00A32946" w:rsidRDefault="00A32946" w:rsidP="00A32946">
      <w:pPr>
        <w:numPr>
          <w:ilvl w:val="0"/>
          <w:numId w:val="10"/>
        </w:numPr>
        <w:spacing w:before="100" w:beforeAutospacing="1" w:after="100" w:afterAutospacing="1" w:line="240" w:lineRule="auto"/>
        <w:rPr>
          <w:rFonts w:ascii="Times New Roman" w:eastAsia="Times New Roman" w:hAnsi="Times New Roman" w:cs="Times New Roman"/>
          <w:sz w:val="24"/>
          <w:szCs w:val="24"/>
        </w:rPr>
      </w:pPr>
      <m:oMath>
        <m:d>
          <m:dPr>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γ</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μ</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ν</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t>
                </m:r>
              </m:e>
              <m:sub>
                <m:r>
                  <m:rPr>
                    <m:nor/>
                  </m:rPr>
                  <w:rPr>
                    <w:rFonts w:ascii="Times New Roman" w:eastAsia="Times New Roman" w:hAnsi="Times New Roman" w:cs="Times New Roman"/>
                    <w:sz w:val="24"/>
                    <w:szCs w:val="24"/>
                  </w:rPr>
                  <m:t>absorb</m:t>
                </m:r>
              </m:sub>
            </m:sSub>
          </m:e>
        </m:d>
      </m:oMath>
      <w:r w:rsidRPr="00A32946">
        <w:rPr>
          <w:rFonts w:ascii="Times New Roman" w:eastAsia="Times New Roman" w:hAnsi="Times New Roman" w:cs="Times New Roman"/>
          <w:sz w:val="24"/>
          <w:szCs w:val="24"/>
        </w:rPr>
        <w:t xml:space="preserve">represents internally redistributed or delayed photon contributions </w:t>
      </w:r>
    </w:p>
    <w:p w14:paraId="610E7AAE" w14:textId="77777777" w:rsidR="00A32946" w:rsidRPr="00A32946" w:rsidRDefault="00A32946" w:rsidP="00A32946">
      <w:pPr>
        <w:numPr>
          <w:ilvl w:val="0"/>
          <w:numId w:val="10"/>
        </w:numPr>
        <w:spacing w:before="100" w:beforeAutospacing="1" w:after="100" w:afterAutospacing="1" w:line="240" w:lineRule="auto"/>
        <w:rPr>
          <w:rFonts w:ascii="Times New Roman" w:eastAsia="Times New Roman" w:hAnsi="Times New Roman" w:cs="Times New Roman"/>
          <w:sz w:val="24"/>
          <w:szCs w:val="24"/>
        </w:rPr>
      </w:pP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m:rPr>
                <m:nor/>
              </m:rPr>
              <w:rPr>
                <w:rFonts w:ascii="Times New Roman" w:eastAsia="Times New Roman" w:hAnsi="Times New Roman" w:cs="Times New Roman"/>
                <w:sz w:val="24"/>
                <w:szCs w:val="24"/>
              </w:rPr>
              <m:t>field</m:t>
            </m:r>
          </m:sup>
        </m:sSubSup>
      </m:oMath>
      <w:r w:rsidRPr="00A32946">
        <w:rPr>
          <w:rFonts w:ascii="Times New Roman" w:eastAsia="Times New Roman" w:hAnsi="Times New Roman" w:cs="Times New Roman"/>
          <w:sz w:val="24"/>
          <w:szCs w:val="24"/>
        </w:rPr>
        <w:t xml:space="preserve">represents background electromagnetic and vacuum field effects </w:t>
      </w:r>
    </w:p>
    <w:p w14:paraId="0385481F" w14:textId="6D8C09D2" w:rsidR="00A32946" w:rsidRPr="00A32946" w:rsidRDefault="00A32946" w:rsidP="00A32946">
      <w:pPr>
        <w:numPr>
          <w:ilvl w:val="0"/>
          <w:numId w:val="10"/>
        </w:numPr>
        <w:spacing w:before="100" w:beforeAutospacing="1" w:after="100" w:afterAutospacing="1" w:line="240" w:lineRule="auto"/>
        <w:rPr>
          <w:rFonts w:ascii="Times New Roman" w:eastAsia="Times New Roman" w:hAnsi="Times New Roman" w:cs="Times New Roman"/>
          <w:sz w:val="24"/>
          <w:szCs w:val="24"/>
        </w:rPr>
      </w:pP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m:rPr>
                <m:nor/>
              </m:rPr>
              <w:rPr>
                <w:rFonts w:ascii="Times New Roman" w:eastAsia="Times New Roman" w:hAnsi="Times New Roman" w:cs="Times New Roman"/>
                <w:sz w:val="24"/>
                <w:szCs w:val="24"/>
              </w:rPr>
              <m:t>CST</m:t>
            </m:r>
          </m:sup>
        </m:sSubSup>
      </m:oMath>
      <w:r w:rsidRPr="00A32946">
        <w:rPr>
          <w:rFonts w:ascii="Times New Roman" w:eastAsia="Times New Roman" w:hAnsi="Times New Roman" w:cs="Times New Roman"/>
          <w:sz w:val="24"/>
          <w:szCs w:val="24"/>
        </w:rPr>
        <w:t xml:space="preserve">represents temporal phase </w:t>
      </w:r>
      <w:r w:rsidRPr="00A32946">
        <w:rPr>
          <w:rFonts w:ascii="Times New Roman" w:eastAsia="Times New Roman" w:hAnsi="Times New Roman" w:cs="Times New Roman"/>
          <w:sz w:val="24"/>
          <w:szCs w:val="24"/>
        </w:rPr>
        <w:t>asymmetrical</w:t>
      </w:r>
      <w:r w:rsidRPr="00A32946">
        <w:rPr>
          <w:rFonts w:ascii="Times New Roman" w:eastAsia="Times New Roman" w:hAnsi="Times New Roman" w:cs="Times New Roman"/>
          <w:sz w:val="24"/>
          <w:szCs w:val="24"/>
        </w:rPr>
        <w:t xml:space="preserve"> contributions </w:t>
      </w:r>
    </w:p>
    <w:p w14:paraId="2B2C77BF"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This equation explicitly shows that curvature-relevant stress–energy emerges not from total energy, but from </w:t>
      </w:r>
      <w:r w:rsidRPr="00A32946">
        <w:rPr>
          <w:rFonts w:ascii="Times New Roman" w:eastAsia="Times New Roman" w:hAnsi="Times New Roman" w:cs="Times New Roman"/>
          <w:b/>
          <w:bCs/>
          <w:sz w:val="24"/>
          <w:szCs w:val="24"/>
        </w:rPr>
        <w:t>imbalance between outward and internally retained momentum flows</w:t>
      </w:r>
      <w:r w:rsidRPr="00A32946">
        <w:rPr>
          <w:rFonts w:ascii="Times New Roman" w:eastAsia="Times New Roman" w:hAnsi="Times New Roman" w:cs="Times New Roman"/>
          <w:sz w:val="24"/>
          <w:szCs w:val="24"/>
        </w:rPr>
        <w:t>.</w:t>
      </w:r>
    </w:p>
    <w:p w14:paraId="23D28764"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lastRenderedPageBreak/>
        <w:t>Curvature Synchronization Time and Voyager Reference System</w:t>
      </w:r>
    </w:p>
    <w:p w14:paraId="5EA0CEF5"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Curvature Synchronization Time is defined as:</w:t>
      </w:r>
    </w:p>
    <w:p w14:paraId="5A307FB8" w14:textId="77777777" w:rsidR="00A32946" w:rsidRPr="00A32946" w:rsidRDefault="00A32946" w:rsidP="00A32946">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engine</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reference</m:t>
              </m:r>
            </m:sub>
          </m:sSub>
          <m:r>
            <w:rPr>
              <w:rFonts w:ascii="Cambria Math" w:eastAsia="Times New Roman" w:hAnsi="Cambria Math" w:cs="Times New Roman"/>
              <w:sz w:val="24"/>
              <w:szCs w:val="24"/>
            </w:rPr>
            <w:br/>
          </m:r>
        </m:oMath>
      </m:oMathPara>
    </w:p>
    <w:p w14:paraId="11A09335"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The reference frame is extended beyond local clocks to include interstellar timing baselines. A three-point timing system </w:t>
      </w:r>
      <w:proofErr w:type="gramStart"/>
      <w:r w:rsidRPr="00A32946">
        <w:rPr>
          <w:rFonts w:ascii="Times New Roman" w:eastAsia="Times New Roman" w:hAnsi="Times New Roman" w:cs="Times New Roman"/>
          <w:sz w:val="24"/>
          <w:szCs w:val="24"/>
        </w:rPr>
        <w:t>is</w:t>
      </w:r>
      <w:proofErr w:type="gramEnd"/>
      <w:r w:rsidRPr="00A32946">
        <w:rPr>
          <w:rFonts w:ascii="Times New Roman" w:eastAsia="Times New Roman" w:hAnsi="Times New Roman" w:cs="Times New Roman"/>
          <w:sz w:val="24"/>
          <w:szCs w:val="24"/>
        </w:rPr>
        <w:t xml:space="preserve"> introduced:</w:t>
      </w:r>
    </w:p>
    <w:p w14:paraId="583C182B" w14:textId="77777777" w:rsidR="00A32946" w:rsidRPr="00A32946" w:rsidRDefault="00A32946" w:rsidP="00A329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Local atomic clock (engine frame) </w:t>
      </w:r>
    </w:p>
    <w:p w14:paraId="14780124" w14:textId="77777777" w:rsidR="00A32946" w:rsidRPr="00A32946" w:rsidRDefault="00A32946" w:rsidP="00A329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Earth-based UTC reference </w:t>
      </w:r>
    </w:p>
    <w:p w14:paraId="5AD07B8C" w14:textId="77777777" w:rsidR="00A32946" w:rsidRPr="00A32946" w:rsidRDefault="00A32946" w:rsidP="00A3294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Deep-space clock from Voyager telemetry </w:t>
      </w:r>
    </w:p>
    <w:p w14:paraId="0B208FEA"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This forms a </w:t>
      </w:r>
      <w:r w:rsidRPr="00A32946">
        <w:rPr>
          <w:rFonts w:ascii="Times New Roman" w:eastAsia="Times New Roman" w:hAnsi="Times New Roman" w:cs="Times New Roman"/>
          <w:b/>
          <w:bCs/>
          <w:sz w:val="24"/>
          <w:szCs w:val="24"/>
        </w:rPr>
        <w:t>CST timing triangle</w:t>
      </w:r>
      <w:r w:rsidRPr="00A32946">
        <w:rPr>
          <w:rFonts w:ascii="Times New Roman" w:eastAsia="Times New Roman" w:hAnsi="Times New Roman" w:cs="Times New Roman"/>
          <w:sz w:val="24"/>
          <w:szCs w:val="24"/>
        </w:rPr>
        <w:t>, where:</w:t>
      </w:r>
    </w:p>
    <w:p w14:paraId="7B3DC69E" w14:textId="77777777" w:rsidR="00A32946" w:rsidRPr="00A32946" w:rsidRDefault="00A32946" w:rsidP="00A32946">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CST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engine</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Earth</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Voyager</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br/>
          </m:r>
        </m:oMath>
      </m:oMathPara>
    </w:p>
    <w:p w14:paraId="0BF98799"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The inclusion of Voyager provides a long-baseline relativistic reference, incorporating light-time delay and interstellar propagation effects. This enables measurement of timing drift across spatial scales and introduces a method for linking temporal phase to spatial positioning.</w:t>
      </w:r>
    </w:p>
    <w:p w14:paraId="1B25F9FC"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Asymmetry Zones and Photon Flow Structure</w:t>
      </w:r>
    </w:p>
    <w:p w14:paraId="1AF3EF9F"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The propulsion system is conceptually divided into spatial regions.</w:t>
      </w:r>
    </w:p>
    <w:p w14:paraId="1B3C6DA5"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The central chamber functions as a photon–pair generation zone, where high-energy input produces electron–positron pairs. Surrounding this region are asymmetric boundary structures, such as reflective cavities or absorptive plates, which determine photon fate.</w:t>
      </w:r>
    </w:p>
    <w:p w14:paraId="78472655"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One region is designed for photon escape, producing net outward momentum. The opposing region absorbs, redirects, or temporally delays photons, preventing symmetric cancellation. This creates a directional gradient in energy–momentum distribution.</w:t>
      </w:r>
    </w:p>
    <w:p w14:paraId="5C969173" w14:textId="54241961"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Vacuum compression zones emerge near boundary conditions </w:t>
      </w:r>
      <w:r w:rsidRPr="00A32946">
        <w:rPr>
          <w:rFonts w:ascii="Times New Roman" w:eastAsia="Times New Roman" w:hAnsi="Times New Roman" w:cs="Times New Roman"/>
          <w:sz w:val="24"/>
          <w:szCs w:val="24"/>
        </w:rPr>
        <w:t>like</w:t>
      </w:r>
      <w:r w:rsidRPr="00A32946">
        <w:rPr>
          <w:rFonts w:ascii="Times New Roman" w:eastAsia="Times New Roman" w:hAnsi="Times New Roman" w:cs="Times New Roman"/>
          <w:sz w:val="24"/>
          <w:szCs w:val="24"/>
        </w:rPr>
        <w:t xml:space="preserve"> those observed in the Casimir effect, reinforcing asymmetry.</w:t>
      </w:r>
    </w:p>
    <w:p w14:paraId="1756CB50"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Temporal phase shifts, governed by CST, further differentiate regions by altering the timing of annihilation cycles. Faster cycling regions exhibit higher effective energy density, contributing to directional stress–energy gradients.</w:t>
      </w:r>
    </w:p>
    <w:p w14:paraId="786BFC3E"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Temporal–Spatial Coupling</w:t>
      </w:r>
    </w:p>
    <w:p w14:paraId="61B8D048"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Distance and time remain coupled through:</w:t>
      </w:r>
    </w:p>
    <w:p w14:paraId="0A1B3A71" w14:textId="77777777" w:rsidR="00A32946" w:rsidRPr="00A32946" w:rsidRDefault="00A32946" w:rsidP="00A32946">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d=c⋅</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r>
            <w:rPr>
              <w:rFonts w:ascii="Cambria Math" w:eastAsia="Times New Roman" w:hAnsi="Cambria Math" w:cs="Times New Roman"/>
              <w:i/>
              <w:sz w:val="24"/>
              <w:szCs w:val="24"/>
            </w:rPr>
            <w:br/>
          </m:r>
        </m:oMath>
      </m:oMathPara>
    </w:p>
    <w:p w14:paraId="519DC430"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lastRenderedPageBreak/>
        <w:t>Within the CST framework, spatial displacement is interpreted through synchronized timing differences across reference clocks. The Voyager-based triangle introduces measurable delay variations that can be used to infer spatial positioning and temporal drift simultaneously.</w:t>
      </w:r>
    </w:p>
    <w:p w14:paraId="34246905"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Energy Accounting and Constraints</w:t>
      </w:r>
    </w:p>
    <w:p w14:paraId="73DDB49D"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The system obeys conservation of energy:</w:t>
      </w:r>
    </w:p>
    <w:p w14:paraId="1B66D609" w14:textId="77777777" w:rsidR="00A32946" w:rsidRPr="00A32946" w:rsidRDefault="00A32946" w:rsidP="00A32946">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ascii="Times New Roman" w:eastAsia="Times New Roman" w:hAnsi="Times New Roman" w:cs="Times New Roman"/>
                  <w:sz w:val="24"/>
                  <w:szCs w:val="24"/>
                </w:rPr>
                <m:t>input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ascii="Times New Roman" w:eastAsia="Times New Roman" w:hAnsi="Times New Roman" w:cs="Times New Roman"/>
                  <w:sz w:val="24"/>
                  <w:szCs w:val="24"/>
                </w:rPr>
                <m:t>escape</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ascii="Times New Roman" w:eastAsia="Times New Roman" w:hAnsi="Times New Roman" w:cs="Times New Roman"/>
                  <w:sz w:val="24"/>
                  <w:szCs w:val="24"/>
                </w:rPr>
                <m:t>internal</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m:rPr>
                  <m:nor/>
                </m:rPr>
                <w:rPr>
                  <w:rFonts w:ascii="Times New Roman" w:eastAsia="Times New Roman" w:hAnsi="Times New Roman" w:cs="Times New Roman"/>
                  <w:sz w:val="24"/>
                  <w:szCs w:val="24"/>
                </w:rPr>
                <m:t>loss</m:t>
              </m:r>
            </m:sub>
          </m:sSub>
          <m:r>
            <w:rPr>
              <w:rFonts w:ascii="Cambria Math" w:eastAsia="Times New Roman" w:hAnsi="Cambria Math" w:cs="Times New Roman"/>
              <w:sz w:val="24"/>
              <w:szCs w:val="24"/>
            </w:rPr>
            <w:br/>
          </m:r>
        </m:oMath>
      </m:oMathPara>
    </w:p>
    <w:p w14:paraId="532DD96E"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No net energy is created. Directional effects arise solely from </w:t>
      </w:r>
      <w:r w:rsidRPr="00A32946">
        <w:rPr>
          <w:rFonts w:ascii="Times New Roman" w:eastAsia="Times New Roman" w:hAnsi="Times New Roman" w:cs="Times New Roman"/>
          <w:b/>
          <w:bCs/>
          <w:sz w:val="24"/>
          <w:szCs w:val="24"/>
        </w:rPr>
        <w:t>redistribution of momentum</w:t>
      </w:r>
      <w:r w:rsidRPr="00A32946">
        <w:rPr>
          <w:rFonts w:ascii="Times New Roman" w:eastAsia="Times New Roman" w:hAnsi="Times New Roman" w:cs="Times New Roman"/>
          <w:sz w:val="24"/>
          <w:szCs w:val="24"/>
        </w:rPr>
        <w:t>, not from excess energy generation.</w:t>
      </w:r>
    </w:p>
    <w:p w14:paraId="20FB39B7" w14:textId="7F81B302"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The primary limitation is energy density. Nuclear and plasma systems provide high </w:t>
      </w:r>
      <w:r w:rsidRPr="00A32946">
        <w:rPr>
          <w:rFonts w:ascii="Times New Roman" w:eastAsia="Times New Roman" w:hAnsi="Times New Roman" w:cs="Times New Roman"/>
          <w:sz w:val="24"/>
          <w:szCs w:val="24"/>
        </w:rPr>
        <w:t>energy but</w:t>
      </w:r>
      <w:r w:rsidRPr="00A32946">
        <w:rPr>
          <w:rFonts w:ascii="Times New Roman" w:eastAsia="Times New Roman" w:hAnsi="Times New Roman" w:cs="Times New Roman"/>
          <w:sz w:val="24"/>
          <w:szCs w:val="24"/>
        </w:rPr>
        <w:t xml:space="preserve"> currently fall far below the levels required for significant spacetime curvature.</w:t>
      </w:r>
    </w:p>
    <w:p w14:paraId="5251D112"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Falsifiability</w:t>
      </w:r>
    </w:p>
    <w:p w14:paraId="27CE91F5"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The theory predicts measurable outcomes.</w:t>
      </w:r>
    </w:p>
    <w:p w14:paraId="3AC2257E"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If asymmetric photon confinement produces net momentum without mass ejection, directional force should be detectable.</w:t>
      </w:r>
    </w:p>
    <w:p w14:paraId="4525232C"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If CST synchronization affects vacuum interactions, phase-dependent variations in Casimir forces should be observed.</w:t>
      </w:r>
    </w:p>
    <w:p w14:paraId="3CC32501"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If multi-clock systems incorporating deep-space references show correlated timing drift under high-energy cycling, CST coupling gains empirical support.</w:t>
      </w:r>
    </w:p>
    <w:p w14:paraId="256F5EEC"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Failure to observe these effects invalidates the proposed mechanism.</w:t>
      </w:r>
    </w:p>
    <w:p w14:paraId="5F96E561"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t>Conclusion</w:t>
      </w:r>
    </w:p>
    <w:p w14:paraId="3AEAA024"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This work develops a unified theoretical model in which anisotropic stress–energy arises from controlled photon asymmetry, driven by realistic energy sources and regulated by temporal synchronization. The introduction of a single governing tensor equation, combined with a Voyager-based timing framework, transforms the concept from abstract symmetry into a structured, testable hypothesis.</w:t>
      </w:r>
    </w:p>
    <w:p w14:paraId="560E601D"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 xml:space="preserve">The model does not eliminate the challenges of warp physics, but reframes them as problems of energy distribution, temporal control, and measurable asymmetry rather than reliance on exotic </w:t>
      </w:r>
      <w:proofErr w:type="gramStart"/>
      <w:r w:rsidRPr="00A32946">
        <w:rPr>
          <w:rFonts w:ascii="Times New Roman" w:eastAsia="Times New Roman" w:hAnsi="Times New Roman" w:cs="Times New Roman"/>
          <w:sz w:val="24"/>
          <w:szCs w:val="24"/>
        </w:rPr>
        <w:t>matter</w:t>
      </w:r>
      <w:proofErr w:type="gramEnd"/>
      <w:r w:rsidRPr="00A32946">
        <w:rPr>
          <w:rFonts w:ascii="Times New Roman" w:eastAsia="Times New Roman" w:hAnsi="Times New Roman" w:cs="Times New Roman"/>
          <w:sz w:val="24"/>
          <w:szCs w:val="24"/>
        </w:rPr>
        <w:t>.</w:t>
      </w:r>
    </w:p>
    <w:p w14:paraId="008A2CFA" w14:textId="3E062499" w:rsidR="00A32946" w:rsidRDefault="00A32946" w:rsidP="00A32946">
      <w:pPr>
        <w:spacing w:after="0" w:line="240" w:lineRule="auto"/>
        <w:rPr>
          <w:rFonts w:ascii="Times New Roman" w:eastAsia="Times New Roman" w:hAnsi="Times New Roman" w:cs="Times New Roman"/>
          <w:sz w:val="24"/>
          <w:szCs w:val="24"/>
        </w:rPr>
      </w:pPr>
    </w:p>
    <w:p w14:paraId="601A983D" w14:textId="77777777" w:rsidR="00A32946" w:rsidRDefault="00A32946" w:rsidP="00A32946">
      <w:pPr>
        <w:spacing w:after="0" w:line="240" w:lineRule="auto"/>
        <w:rPr>
          <w:rFonts w:ascii="Times New Roman" w:eastAsia="Times New Roman" w:hAnsi="Times New Roman" w:cs="Times New Roman"/>
          <w:sz w:val="24"/>
          <w:szCs w:val="24"/>
        </w:rPr>
      </w:pPr>
    </w:p>
    <w:p w14:paraId="36BD39D1" w14:textId="77777777" w:rsidR="00A32946" w:rsidRDefault="00A32946" w:rsidP="00A32946">
      <w:pPr>
        <w:spacing w:after="0" w:line="240" w:lineRule="auto"/>
        <w:rPr>
          <w:rFonts w:ascii="Times New Roman" w:eastAsia="Times New Roman" w:hAnsi="Times New Roman" w:cs="Times New Roman"/>
          <w:sz w:val="24"/>
          <w:szCs w:val="24"/>
        </w:rPr>
      </w:pPr>
    </w:p>
    <w:p w14:paraId="3C4D1BBD" w14:textId="77777777" w:rsidR="00A32946" w:rsidRDefault="00A32946" w:rsidP="00A32946">
      <w:pPr>
        <w:spacing w:after="0" w:line="240" w:lineRule="auto"/>
        <w:rPr>
          <w:rFonts w:ascii="Times New Roman" w:eastAsia="Times New Roman" w:hAnsi="Times New Roman" w:cs="Times New Roman"/>
          <w:sz w:val="24"/>
          <w:szCs w:val="24"/>
        </w:rPr>
      </w:pPr>
    </w:p>
    <w:p w14:paraId="00276E66" w14:textId="77777777" w:rsidR="00A32946" w:rsidRDefault="00A32946" w:rsidP="00A32946">
      <w:pPr>
        <w:spacing w:after="0" w:line="240" w:lineRule="auto"/>
        <w:rPr>
          <w:rFonts w:ascii="Times New Roman" w:eastAsia="Times New Roman" w:hAnsi="Times New Roman" w:cs="Times New Roman"/>
          <w:sz w:val="24"/>
          <w:szCs w:val="24"/>
        </w:rPr>
      </w:pPr>
    </w:p>
    <w:p w14:paraId="6AD90651" w14:textId="77777777" w:rsidR="00A32946" w:rsidRPr="00A32946" w:rsidRDefault="00A32946" w:rsidP="00A32946">
      <w:pPr>
        <w:spacing w:after="0" w:line="240" w:lineRule="auto"/>
        <w:rPr>
          <w:rFonts w:ascii="Times New Roman" w:eastAsia="Times New Roman" w:hAnsi="Times New Roman" w:cs="Times New Roman"/>
          <w:sz w:val="24"/>
          <w:szCs w:val="24"/>
        </w:rPr>
      </w:pPr>
    </w:p>
    <w:p w14:paraId="4FEC30A3" w14:textId="77777777" w:rsidR="00A32946" w:rsidRPr="00A32946" w:rsidRDefault="00A32946" w:rsidP="00A32946">
      <w:pPr>
        <w:spacing w:before="100" w:beforeAutospacing="1" w:after="100" w:afterAutospacing="1" w:line="240" w:lineRule="auto"/>
        <w:outlineLvl w:val="1"/>
        <w:rPr>
          <w:rFonts w:ascii="Times New Roman" w:eastAsia="Times New Roman" w:hAnsi="Times New Roman" w:cs="Times New Roman"/>
          <w:b/>
          <w:bCs/>
          <w:sz w:val="36"/>
          <w:szCs w:val="36"/>
        </w:rPr>
      </w:pPr>
      <w:r w:rsidRPr="00A32946">
        <w:rPr>
          <w:rFonts w:ascii="Times New Roman" w:eastAsia="Times New Roman" w:hAnsi="Times New Roman" w:cs="Times New Roman"/>
          <w:b/>
          <w:bCs/>
          <w:sz w:val="36"/>
          <w:szCs w:val="36"/>
        </w:rPr>
        <w:lastRenderedPageBreak/>
        <w:t>References</w:t>
      </w:r>
    </w:p>
    <w:p w14:paraId="3312B170" w14:textId="77777777" w:rsidR="00A32946" w:rsidRPr="00A32946" w:rsidRDefault="00A32946" w:rsidP="00A32946">
      <w:pPr>
        <w:spacing w:before="100" w:beforeAutospacing="1" w:after="100" w:afterAutospacing="1" w:line="240" w:lineRule="auto"/>
        <w:rPr>
          <w:rFonts w:ascii="Times New Roman" w:eastAsia="Times New Roman" w:hAnsi="Times New Roman" w:cs="Times New Roman"/>
          <w:sz w:val="24"/>
          <w:szCs w:val="24"/>
        </w:rPr>
      </w:pPr>
      <w:r w:rsidRPr="00A32946">
        <w:rPr>
          <w:rFonts w:ascii="Times New Roman" w:eastAsia="Times New Roman" w:hAnsi="Times New Roman" w:cs="Times New Roman"/>
          <w:sz w:val="24"/>
          <w:szCs w:val="24"/>
        </w:rPr>
        <w:t>Theory of Relativity</w:t>
      </w:r>
      <w:r w:rsidRPr="00A32946">
        <w:rPr>
          <w:rFonts w:ascii="Times New Roman" w:eastAsia="Times New Roman" w:hAnsi="Times New Roman" w:cs="Times New Roman"/>
          <w:sz w:val="24"/>
          <w:szCs w:val="24"/>
        </w:rPr>
        <w:br/>
        <w:t>Quantum Electrodynamics</w:t>
      </w:r>
      <w:r w:rsidRPr="00A32946">
        <w:rPr>
          <w:rFonts w:ascii="Times New Roman" w:eastAsia="Times New Roman" w:hAnsi="Times New Roman" w:cs="Times New Roman"/>
          <w:sz w:val="24"/>
          <w:szCs w:val="24"/>
        </w:rPr>
        <w:br/>
        <w:t>Casimir effect</w:t>
      </w:r>
      <w:r w:rsidRPr="00A32946">
        <w:rPr>
          <w:rFonts w:ascii="Times New Roman" w:eastAsia="Times New Roman" w:hAnsi="Times New Roman" w:cs="Times New Roman"/>
          <w:sz w:val="24"/>
          <w:szCs w:val="24"/>
        </w:rPr>
        <w:br/>
        <w:t>Alcubierre metric</w:t>
      </w:r>
      <w:r w:rsidRPr="00A32946">
        <w:rPr>
          <w:rFonts w:ascii="Times New Roman" w:eastAsia="Times New Roman" w:hAnsi="Times New Roman" w:cs="Times New Roman"/>
          <w:sz w:val="24"/>
          <w:szCs w:val="24"/>
        </w:rPr>
        <w:br/>
        <w:t>Hawking radiation</w:t>
      </w:r>
      <w:r w:rsidRPr="00A32946">
        <w:rPr>
          <w:rFonts w:ascii="Times New Roman" w:eastAsia="Times New Roman" w:hAnsi="Times New Roman" w:cs="Times New Roman"/>
          <w:sz w:val="24"/>
          <w:szCs w:val="24"/>
        </w:rPr>
        <w:br/>
        <w:t>Unruh effect</w:t>
      </w:r>
      <w:r w:rsidRPr="00A32946">
        <w:rPr>
          <w:rFonts w:ascii="Times New Roman" w:eastAsia="Times New Roman" w:hAnsi="Times New Roman" w:cs="Times New Roman"/>
          <w:sz w:val="24"/>
          <w:szCs w:val="24"/>
        </w:rPr>
        <w:br/>
        <w:t>Voyager 1</w:t>
      </w:r>
      <w:r w:rsidRPr="00A32946">
        <w:rPr>
          <w:rFonts w:ascii="Times New Roman" w:eastAsia="Times New Roman" w:hAnsi="Times New Roman" w:cs="Times New Roman"/>
          <w:sz w:val="24"/>
          <w:szCs w:val="24"/>
        </w:rPr>
        <w:br/>
        <w:t>Voyager 2</w:t>
      </w:r>
    </w:p>
    <w:p w14:paraId="6CFA4F12" w14:textId="6374B4A8" w:rsidR="00A32946" w:rsidRDefault="00A32946" w:rsidP="00A32946">
      <w:r>
        <w:rPr>
          <w:noProof/>
        </w:rPr>
        <w:drawing>
          <wp:inline distT="0" distB="0" distL="0" distR="0" wp14:anchorId="07216E46" wp14:editId="70F0E335">
            <wp:extent cx="3067050" cy="4600574"/>
            <wp:effectExtent l="0" t="0" r="0" b="0"/>
            <wp:docPr id="47015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53494" name="Picture 470153494"/>
                    <pic:cNvPicPr/>
                  </pic:nvPicPr>
                  <pic:blipFill>
                    <a:blip r:embed="rId6"/>
                    <a:stretch>
                      <a:fillRect/>
                    </a:stretch>
                  </pic:blipFill>
                  <pic:spPr>
                    <a:xfrm>
                      <a:off x="0" y="0"/>
                      <a:ext cx="3077142" cy="4615712"/>
                    </a:xfrm>
                    <a:prstGeom prst="rect">
                      <a:avLst/>
                    </a:prstGeom>
                  </pic:spPr>
                </pic:pic>
              </a:graphicData>
            </a:graphic>
          </wp:inline>
        </w:drawing>
      </w:r>
      <w:r>
        <w:rPr>
          <w:noProof/>
        </w:rPr>
        <w:drawing>
          <wp:inline distT="0" distB="0" distL="0" distR="0" wp14:anchorId="0F43858C" wp14:editId="0FB3CC4D">
            <wp:extent cx="3028950" cy="462603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chematic_diagram_illustrates_a_Warp-Drive_Energ.png"/>
                    <pic:cNvPicPr/>
                  </pic:nvPicPr>
                  <pic:blipFill>
                    <a:blip r:embed="rId7"/>
                    <a:stretch>
                      <a:fillRect/>
                    </a:stretch>
                  </pic:blipFill>
                  <pic:spPr>
                    <a:xfrm>
                      <a:off x="0" y="0"/>
                      <a:ext cx="3045780" cy="4651738"/>
                    </a:xfrm>
                    <a:prstGeom prst="rect">
                      <a:avLst/>
                    </a:prstGeom>
                  </pic:spPr>
                </pic:pic>
              </a:graphicData>
            </a:graphic>
          </wp:inline>
        </w:drawing>
      </w:r>
    </w:p>
    <w:p w14:paraId="648CB6D6" w14:textId="0491821D" w:rsidR="00833254" w:rsidRDefault="00833254" w:rsidP="00FC505B">
      <w:pPr>
        <w:jc w:val="center"/>
      </w:pPr>
    </w:p>
    <w:sectPr w:rsidR="00833254" w:rsidSect="00FC50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A21F2"/>
    <w:multiLevelType w:val="multilevel"/>
    <w:tmpl w:val="E06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3234E"/>
    <w:multiLevelType w:val="multilevel"/>
    <w:tmpl w:val="3F10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018246">
    <w:abstractNumId w:val="8"/>
  </w:num>
  <w:num w:numId="2" w16cid:durableId="108861522">
    <w:abstractNumId w:val="6"/>
  </w:num>
  <w:num w:numId="3" w16cid:durableId="1821576758">
    <w:abstractNumId w:val="5"/>
  </w:num>
  <w:num w:numId="4" w16cid:durableId="2056463527">
    <w:abstractNumId w:val="4"/>
  </w:num>
  <w:num w:numId="5" w16cid:durableId="174417833">
    <w:abstractNumId w:val="7"/>
  </w:num>
  <w:num w:numId="6" w16cid:durableId="1912697345">
    <w:abstractNumId w:val="3"/>
  </w:num>
  <w:num w:numId="7" w16cid:durableId="1146046085">
    <w:abstractNumId w:val="2"/>
  </w:num>
  <w:num w:numId="8" w16cid:durableId="1362246338">
    <w:abstractNumId w:val="1"/>
  </w:num>
  <w:num w:numId="9" w16cid:durableId="283930025">
    <w:abstractNumId w:val="0"/>
  </w:num>
  <w:num w:numId="10" w16cid:durableId="690839222">
    <w:abstractNumId w:val="9"/>
  </w:num>
  <w:num w:numId="11" w16cid:durableId="1695840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870"/>
    <w:rsid w:val="00833254"/>
    <w:rsid w:val="00A32946"/>
    <w:rsid w:val="00AA1D8D"/>
    <w:rsid w:val="00B47730"/>
    <w:rsid w:val="00CB0664"/>
    <w:rsid w:val="00D92B93"/>
    <w:rsid w:val="00FC5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C4B6C"/>
  <w14:defaultImageDpi w14:val="300"/>
  <w15:docId w15:val="{63B9DA96-F795-4C96-A8E5-D0512592A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cp:lastPrinted>2025-10-12T17:08:00Z</cp:lastPrinted>
  <dcterms:created xsi:type="dcterms:W3CDTF">2013-12-23T23:15:00Z</dcterms:created>
  <dcterms:modified xsi:type="dcterms:W3CDTF">2026-04-18T02:21:00Z</dcterms:modified>
  <cp:category/>
</cp:coreProperties>
</file>