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3B57" w14:textId="6F425175"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t xml:space="preserve">Reentry </w:t>
      </w:r>
      <w:r>
        <w:rPr>
          <w:rFonts w:ascii="Times New Roman" w:eastAsia="Times New Roman" w:hAnsi="Times New Roman" w:cs="Times New Roman"/>
          <w:b/>
          <w:bCs/>
          <w:sz w:val="36"/>
          <w:szCs w:val="36"/>
        </w:rPr>
        <w:t xml:space="preserve">Go/No Go </w:t>
      </w:r>
      <w:r w:rsidRPr="000E5F82">
        <w:rPr>
          <w:rFonts w:ascii="Times New Roman" w:eastAsia="Times New Roman" w:hAnsi="Times New Roman" w:cs="Times New Roman"/>
          <w:b/>
          <w:bCs/>
          <w:sz w:val="36"/>
          <w:szCs w:val="36"/>
        </w:rPr>
        <w:t>Dynamics and Exit Analogy in Hypersonic Flight</w:t>
      </w:r>
    </w:p>
    <w:p w14:paraId="77787A74"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This document examines the physical distinction between exiting Earth and reentering the atmosphere, reformulating the problem through a control-based framework that integrates classical hypersonic flow physics with a timing-synchronization layer. The objective is not to replace established aerodynamic and thermodynamic principles, but to extend them by introducing a structured interpretation of flow interaction, shock behavior, and synchronization during high-velocity transitions, consistent with established aerospace literature in NASA technical reports and hypersonic flow studies.</w:t>
      </w:r>
    </w:p>
    <w:p w14:paraId="63FEAC19" w14:textId="77777777"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t>Orbital Velocity and Reentry Conditions</w:t>
      </w:r>
    </w:p>
    <w:p w14:paraId="3C1D33F1"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Any vehicle in low Earth orbit must maintain a velocity on the order of orbital speed to remain gravitationally bound without descending. For Earth, this velocity is approximately</w:t>
      </w:r>
    </w:p>
    <w:p w14:paraId="475E7DDD"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orbit</m:t>
              </m:r>
            </m:sub>
          </m:sSub>
          <m:r>
            <w:rPr>
              <w:rFonts w:ascii="Cambria Math" w:eastAsia="Times New Roman" w:hAnsi="Cambria Math" w:cs="Times New Roman"/>
              <w:sz w:val="24"/>
              <w:szCs w:val="24"/>
            </w:rPr>
            <m:t>≈7.8</m:t>
          </m:r>
          <m:r>
            <m:rPr>
              <m:nor/>
            </m:rPr>
            <w:rPr>
              <w:rFonts w:ascii="Times New Roman" w:eastAsia="Times New Roman" w:hAnsi="Times New Roman" w:cs="Times New Roman"/>
              <w:sz w:val="24"/>
              <w:szCs w:val="24"/>
            </w:rPr>
            <m:t> km/s</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Mach 25</m:t>
          </m:r>
        </m:oMath>
      </m:oMathPara>
    </w:p>
    <w:p w14:paraId="0F0F74E9"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This value is consistent with orbital mechanics derived from Newtonian gravity and confirmed through spacecraft operations such as the Space Shuttle program and satellite motion models described in Fundamentals of Astrodynamics. As a result, reentry begins at hypersonic velocities near Mach 25 and decelerates through lower Mach regimes as atmospheric density increases.</w:t>
      </w:r>
    </w:p>
    <w:p w14:paraId="5F04B827" w14:textId="77777777"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t>Atmospheric Exit Versus Reentry</w:t>
      </w:r>
    </w:p>
    <w:p w14:paraId="5319A222"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The physical environment during ascent differs fundamentally from reentry. During ascent, a vehicle transitions from dense air to near vacuum, producing decreasing aerodynamic resistance and reduced compressive effects. This behavior is described in classical compressible flow theory such as Modern Compressible Flow.</w:t>
      </w:r>
    </w:p>
    <w:p w14:paraId="196DD6C2" w14:textId="77777777" w:rsidR="000E5F82" w:rsidRPr="000E5F82" w:rsidRDefault="000E5F82" w:rsidP="000E5F82">
      <w:pPr>
        <w:spacing w:after="0" w:line="240" w:lineRule="auto"/>
        <w:jc w:val="center"/>
        <w:rPr>
          <w:rFonts w:ascii="Times New Roman" w:eastAsia="Times New Roman" w:hAnsi="Times New Roman" w:cs="Times New Roman"/>
          <w:sz w:val="24"/>
          <w:szCs w:val="24"/>
        </w:rPr>
      </w:pPr>
      <w:r w:rsidRPr="000E5F82">
        <w:rPr>
          <w:rFonts w:ascii="Times New Roman" w:eastAsia="Times New Roman" w:hAnsi="Times New Roman" w:cs="Times New Roman"/>
          <w:noProof/>
          <w:sz w:val="24"/>
          <w:szCs w:val="24"/>
        </w:rPr>
        <w:drawing>
          <wp:inline distT="0" distB="0" distL="0" distR="0" wp14:anchorId="629074A6" wp14:editId="1610004E">
            <wp:extent cx="3490436" cy="1994535"/>
            <wp:effectExtent l="0" t="0" r="0" b="5715"/>
            <wp:docPr id="283693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5370" cy="1997354"/>
                    </a:xfrm>
                    <a:prstGeom prst="rect">
                      <a:avLst/>
                    </a:prstGeom>
                    <a:noFill/>
                    <a:ln>
                      <a:noFill/>
                    </a:ln>
                  </pic:spPr>
                </pic:pic>
              </a:graphicData>
            </a:graphic>
          </wp:inline>
        </w:drawing>
      </w:r>
    </w:p>
    <w:p w14:paraId="25D4933D" w14:textId="77777777" w:rsidR="000E5F82" w:rsidRDefault="000E5F82" w:rsidP="000E5F82">
      <w:pPr>
        <w:spacing w:after="0" w:line="240" w:lineRule="auto"/>
        <w:jc w:val="center"/>
        <w:rPr>
          <w:rFonts w:ascii="Times New Roman" w:eastAsia="Times New Roman" w:hAnsi="Times New Roman" w:cs="Times New Roman"/>
          <w:sz w:val="24"/>
          <w:szCs w:val="24"/>
        </w:rPr>
      </w:pPr>
      <w:r w:rsidRPr="000E5F82">
        <w:rPr>
          <w:rFonts w:ascii="Times New Roman" w:eastAsia="Times New Roman" w:hAnsi="Times New Roman" w:cs="Times New Roman"/>
          <w:noProof/>
          <w:sz w:val="24"/>
          <w:szCs w:val="24"/>
        </w:rPr>
        <w:lastRenderedPageBreak/>
        <w:drawing>
          <wp:inline distT="0" distB="0" distL="0" distR="0" wp14:anchorId="2BC1A5F2" wp14:editId="18AEB27B">
            <wp:extent cx="5448300" cy="2842895"/>
            <wp:effectExtent l="0" t="0" r="0" b="0"/>
            <wp:docPr id="547021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9801" cy="2848896"/>
                    </a:xfrm>
                    <a:prstGeom prst="rect">
                      <a:avLst/>
                    </a:prstGeom>
                    <a:noFill/>
                    <a:ln>
                      <a:noFill/>
                    </a:ln>
                  </pic:spPr>
                </pic:pic>
              </a:graphicData>
            </a:graphic>
          </wp:inline>
        </w:drawing>
      </w:r>
    </w:p>
    <w:p w14:paraId="3EC83E22" w14:textId="77777777" w:rsidR="000E5F82" w:rsidRPr="000E5F82" w:rsidRDefault="000E5F82" w:rsidP="000E5F82">
      <w:pPr>
        <w:spacing w:after="0" w:line="240" w:lineRule="auto"/>
        <w:jc w:val="center"/>
        <w:rPr>
          <w:rFonts w:ascii="Times New Roman" w:eastAsia="Times New Roman" w:hAnsi="Times New Roman" w:cs="Times New Roman"/>
          <w:sz w:val="24"/>
          <w:szCs w:val="24"/>
        </w:rPr>
      </w:pPr>
    </w:p>
    <w:p w14:paraId="67215EEE" w14:textId="77777777" w:rsidR="000E5F82" w:rsidRPr="000E5F82" w:rsidRDefault="000E5F82" w:rsidP="000E5F82">
      <w:pPr>
        <w:spacing w:after="0" w:line="240" w:lineRule="auto"/>
        <w:jc w:val="center"/>
        <w:rPr>
          <w:rFonts w:ascii="Times New Roman" w:eastAsia="Times New Roman" w:hAnsi="Times New Roman" w:cs="Times New Roman"/>
          <w:sz w:val="24"/>
          <w:szCs w:val="24"/>
        </w:rPr>
      </w:pPr>
      <w:r w:rsidRPr="000E5F82">
        <w:rPr>
          <w:rFonts w:ascii="Times New Roman" w:eastAsia="Times New Roman" w:hAnsi="Times New Roman" w:cs="Times New Roman"/>
          <w:noProof/>
          <w:sz w:val="24"/>
          <w:szCs w:val="24"/>
        </w:rPr>
        <w:drawing>
          <wp:inline distT="0" distB="0" distL="0" distR="0" wp14:anchorId="2E70AA3C" wp14:editId="306A7E36">
            <wp:extent cx="5467192" cy="3075072"/>
            <wp:effectExtent l="0" t="0" r="63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8206" cy="3086892"/>
                    </a:xfrm>
                    <a:prstGeom prst="rect">
                      <a:avLst/>
                    </a:prstGeom>
                    <a:noFill/>
                    <a:ln>
                      <a:noFill/>
                    </a:ln>
                  </pic:spPr>
                </pic:pic>
              </a:graphicData>
            </a:graphic>
          </wp:inline>
        </w:drawing>
      </w:r>
    </w:p>
    <w:p w14:paraId="0643AD27" w14:textId="2C2ADB7A" w:rsidR="000E5F82" w:rsidRPr="000E5F82" w:rsidRDefault="000E5F82" w:rsidP="000E5F82">
      <w:pPr>
        <w:spacing w:after="0" w:line="240" w:lineRule="auto"/>
        <w:rPr>
          <w:rFonts w:ascii="Times New Roman" w:eastAsia="Times New Roman" w:hAnsi="Times New Roman" w:cs="Times New Roman"/>
          <w:sz w:val="24"/>
          <w:szCs w:val="24"/>
        </w:rPr>
      </w:pPr>
    </w:p>
    <w:p w14:paraId="6D5658BA"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During reentry, the inverse occurs. The vehicle moves from near vacuum into increasingly dense air at hypersonic speed. Air cannot move out of the way fast enough and compresses into a strong bow shock, producing extreme temperatures and plasma formation. This phenomenon is well documented in hypersonic aerothermodynamics and observed in missions such as Apollo Command Module and the Space Shuttle.</w:t>
      </w:r>
    </w:p>
    <w:p w14:paraId="2496D42E" w14:textId="77777777" w:rsidR="000E5F82" w:rsidRPr="000E5F82" w:rsidRDefault="000E5F82" w:rsidP="000E5F82">
      <w:pPr>
        <w:spacing w:after="0" w:line="240" w:lineRule="auto"/>
        <w:jc w:val="center"/>
        <w:rPr>
          <w:rFonts w:ascii="Times New Roman" w:eastAsia="Times New Roman" w:hAnsi="Times New Roman" w:cs="Times New Roman"/>
          <w:sz w:val="24"/>
          <w:szCs w:val="24"/>
        </w:rPr>
      </w:pPr>
      <w:r w:rsidRPr="000E5F82">
        <w:rPr>
          <w:rFonts w:ascii="Times New Roman" w:eastAsia="Times New Roman" w:hAnsi="Times New Roman" w:cs="Times New Roman"/>
          <w:noProof/>
          <w:sz w:val="24"/>
          <w:szCs w:val="24"/>
        </w:rPr>
        <w:lastRenderedPageBreak/>
        <w:drawing>
          <wp:inline distT="0" distB="0" distL="0" distR="0" wp14:anchorId="256F6802" wp14:editId="4B02B853">
            <wp:extent cx="2628900" cy="2645645"/>
            <wp:effectExtent l="0" t="0" r="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1846" cy="2648610"/>
                    </a:xfrm>
                    <a:prstGeom prst="rect">
                      <a:avLst/>
                    </a:prstGeom>
                    <a:noFill/>
                    <a:ln>
                      <a:noFill/>
                    </a:ln>
                  </pic:spPr>
                </pic:pic>
              </a:graphicData>
            </a:graphic>
          </wp:inline>
        </w:drawing>
      </w:r>
    </w:p>
    <w:p w14:paraId="49569EE2" w14:textId="77777777" w:rsidR="000E5F82" w:rsidRDefault="000E5F82" w:rsidP="000E5F82">
      <w:pPr>
        <w:spacing w:after="0" w:line="240" w:lineRule="auto"/>
        <w:jc w:val="center"/>
        <w:rPr>
          <w:rFonts w:ascii="Times New Roman" w:eastAsia="Times New Roman" w:hAnsi="Times New Roman" w:cs="Times New Roman"/>
          <w:sz w:val="24"/>
          <w:szCs w:val="24"/>
        </w:rPr>
      </w:pPr>
      <w:r w:rsidRPr="000E5F82">
        <w:rPr>
          <w:rFonts w:ascii="Times New Roman" w:eastAsia="Times New Roman" w:hAnsi="Times New Roman" w:cs="Times New Roman"/>
          <w:noProof/>
          <w:sz w:val="24"/>
          <w:szCs w:val="24"/>
        </w:rPr>
        <w:drawing>
          <wp:inline distT="0" distB="0" distL="0" distR="0" wp14:anchorId="1AA95212" wp14:editId="33A46FC3">
            <wp:extent cx="3277664" cy="24384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9484" cy="2447193"/>
                    </a:xfrm>
                    <a:prstGeom prst="rect">
                      <a:avLst/>
                    </a:prstGeom>
                    <a:noFill/>
                    <a:ln>
                      <a:noFill/>
                    </a:ln>
                  </pic:spPr>
                </pic:pic>
              </a:graphicData>
            </a:graphic>
          </wp:inline>
        </w:drawing>
      </w:r>
    </w:p>
    <w:p w14:paraId="0C6C02A7" w14:textId="77777777" w:rsidR="000E5F82" w:rsidRPr="000E5F82" w:rsidRDefault="000E5F82" w:rsidP="000E5F82">
      <w:pPr>
        <w:spacing w:after="0" w:line="240" w:lineRule="auto"/>
        <w:jc w:val="center"/>
        <w:rPr>
          <w:rFonts w:ascii="Times New Roman" w:eastAsia="Times New Roman" w:hAnsi="Times New Roman" w:cs="Times New Roman"/>
          <w:sz w:val="24"/>
          <w:szCs w:val="24"/>
        </w:rPr>
      </w:pPr>
    </w:p>
    <w:p w14:paraId="1B1A2A75" w14:textId="77777777" w:rsidR="000E5F82" w:rsidRPr="000E5F82" w:rsidRDefault="000E5F82" w:rsidP="000E5F82">
      <w:pPr>
        <w:spacing w:after="0" w:line="240" w:lineRule="auto"/>
        <w:jc w:val="center"/>
        <w:rPr>
          <w:rFonts w:ascii="Times New Roman" w:eastAsia="Times New Roman" w:hAnsi="Times New Roman" w:cs="Times New Roman"/>
          <w:sz w:val="24"/>
          <w:szCs w:val="24"/>
        </w:rPr>
      </w:pPr>
      <w:r w:rsidRPr="000E5F82">
        <w:rPr>
          <w:rFonts w:ascii="Times New Roman" w:eastAsia="Times New Roman" w:hAnsi="Times New Roman" w:cs="Times New Roman"/>
          <w:noProof/>
          <w:sz w:val="24"/>
          <w:szCs w:val="24"/>
        </w:rPr>
        <w:drawing>
          <wp:inline distT="0" distB="0" distL="0" distR="0" wp14:anchorId="5ADF919C" wp14:editId="7A284BB5">
            <wp:extent cx="3263132" cy="2057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V="1">
                      <a:off x="0" y="0"/>
                      <a:ext cx="3290019" cy="2074352"/>
                    </a:xfrm>
                    <a:prstGeom prst="rect">
                      <a:avLst/>
                    </a:prstGeom>
                    <a:noFill/>
                    <a:ln>
                      <a:noFill/>
                    </a:ln>
                  </pic:spPr>
                </pic:pic>
              </a:graphicData>
            </a:graphic>
          </wp:inline>
        </w:drawing>
      </w:r>
    </w:p>
    <w:p w14:paraId="0DAA811E" w14:textId="58D16852" w:rsidR="000E5F82" w:rsidRDefault="000E5F82" w:rsidP="000E5F82">
      <w:pPr>
        <w:spacing w:after="0" w:line="240" w:lineRule="auto"/>
        <w:rPr>
          <w:rFonts w:ascii="Times New Roman" w:eastAsia="Times New Roman" w:hAnsi="Times New Roman" w:cs="Times New Roman"/>
          <w:sz w:val="24"/>
          <w:szCs w:val="24"/>
        </w:rPr>
      </w:pPr>
    </w:p>
    <w:p w14:paraId="204EA743" w14:textId="77777777" w:rsidR="000E5F82" w:rsidRDefault="000E5F82" w:rsidP="000E5F82">
      <w:pPr>
        <w:spacing w:after="0" w:line="240" w:lineRule="auto"/>
        <w:rPr>
          <w:rFonts w:ascii="Times New Roman" w:eastAsia="Times New Roman" w:hAnsi="Times New Roman" w:cs="Times New Roman"/>
          <w:sz w:val="24"/>
          <w:szCs w:val="24"/>
        </w:rPr>
      </w:pPr>
    </w:p>
    <w:p w14:paraId="5B9CDF2E" w14:textId="77777777" w:rsidR="000E5F82" w:rsidRPr="000E5F82" w:rsidRDefault="000E5F82" w:rsidP="000E5F82">
      <w:pPr>
        <w:spacing w:after="0" w:line="240" w:lineRule="auto"/>
        <w:rPr>
          <w:rFonts w:ascii="Times New Roman" w:eastAsia="Times New Roman" w:hAnsi="Times New Roman" w:cs="Times New Roman"/>
          <w:sz w:val="24"/>
          <w:szCs w:val="24"/>
        </w:rPr>
      </w:pPr>
    </w:p>
    <w:p w14:paraId="612F0FD6" w14:textId="77777777"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lastRenderedPageBreak/>
        <w:t>Hypersonic Heating Mechanism</w:t>
      </w:r>
    </w:p>
    <w:p w14:paraId="657F6B2B"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The dominant heating mechanism during reentry is compressive heating rather than simple surface friction. At hypersonic speeds, kinetic energy is converted into internal energy across the shock layer. A simplified scaling relation is</w:t>
      </w:r>
    </w:p>
    <w:p w14:paraId="643F3612"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2</m:t>
              </m:r>
            </m:sup>
          </m:sSup>
        </m:oMath>
      </m:oMathPara>
    </w:p>
    <w:p w14:paraId="680A4E7E"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This relationship is derived from compressible flow energy equations and discussed in standard references such as Hypersonic and High Temperature Gas Dynamics. The resulting temperatures can ionize the gas, forming plasma that surrounds the vehicle.</w:t>
      </w:r>
    </w:p>
    <w:p w14:paraId="6E721E93" w14:textId="77777777"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t>Shock Layer Structure and Thermal Load</w:t>
      </w:r>
    </w:p>
    <w:p w14:paraId="2B0BCF56"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The thermal load experienced by a vehicle depends on atmospheric density, velocity, and the position of the shock layer relative to the surface. A generalized relationship is</w:t>
      </w:r>
    </w:p>
    <w:p w14:paraId="7F1DD94D"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Q∝ρ</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⋅f(</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shock</m:t>
              </m:r>
            </m:sub>
          </m:sSub>
          <m:r>
            <w:rPr>
              <w:rFonts w:ascii="Cambria Math" w:eastAsia="Times New Roman" w:hAnsi="Cambria Math" w:cs="Times New Roman"/>
              <w:sz w:val="24"/>
              <w:szCs w:val="24"/>
            </w:rPr>
            <m:t>)</m:t>
          </m:r>
        </m:oMath>
      </m:oMathPara>
    </w:p>
    <w:p w14:paraId="37264E9E"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 xml:space="preserve">where Q is </w:t>
      </w:r>
      <w:proofErr w:type="gramStart"/>
      <w:r w:rsidRPr="000E5F82">
        <w:rPr>
          <w:rFonts w:ascii="Times New Roman" w:eastAsia="Times New Roman" w:hAnsi="Times New Roman" w:cs="Times New Roman"/>
          <w:sz w:val="24"/>
          <w:szCs w:val="24"/>
        </w:rPr>
        <w:t>heat</w:t>
      </w:r>
      <w:proofErr w:type="gramEnd"/>
      <w:r w:rsidRPr="000E5F82">
        <w:rPr>
          <w:rFonts w:ascii="Times New Roman" w:eastAsia="Times New Roman" w:hAnsi="Times New Roman" w:cs="Times New Roman"/>
          <w:sz w:val="24"/>
          <w:szCs w:val="24"/>
        </w:rPr>
        <w:t xml:space="preserve"> flux, ρ is atmospheric density, v is velocity, and </w:t>
      </w:r>
      <w:proofErr w:type="spellStart"/>
      <w:r w:rsidRPr="000E5F82">
        <w:rPr>
          <w:rFonts w:ascii="Times New Roman" w:eastAsia="Times New Roman" w:hAnsi="Times New Roman" w:cs="Times New Roman"/>
          <w:sz w:val="24"/>
          <w:szCs w:val="24"/>
        </w:rPr>
        <w:t>d_shock</w:t>
      </w:r>
      <w:proofErr w:type="spellEnd"/>
      <w:r w:rsidRPr="000E5F82">
        <w:rPr>
          <w:rFonts w:ascii="Times New Roman" w:eastAsia="Times New Roman" w:hAnsi="Times New Roman" w:cs="Times New Roman"/>
          <w:sz w:val="24"/>
          <w:szCs w:val="24"/>
        </w:rPr>
        <w:t xml:space="preserve"> is the shock stand-off distance. Increasing this distance reduces heat transfer to the surface. This concept is consistent with blunt body theory developed in early reentry research and applied in spacecraft such as the Apollo Command Module.</w:t>
      </w:r>
    </w:p>
    <w:p w14:paraId="53A2CFC0" w14:textId="77777777"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t>Reformulation of Go and No-Go Conditions</w:t>
      </w:r>
    </w:p>
    <w:p w14:paraId="2808D61D"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Classical Go and No-Go conditions for reentry depend on trajectory angle, velocity, and thermal constraints. These are derived from flight dynamics and atmospheric entry studies in NASA guidance documents and aerodynamic analyses.</w:t>
      </w:r>
    </w:p>
    <w:p w14:paraId="760AD672"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The inverted interpretation presented here reframes the problem as a modification of local flow interaction rather than a reversal of motion. Instead of eliminating compression, the objective is to redistribute it away from the vehicle surface. A conceptual inverse condition is</w:t>
      </w:r>
    </w:p>
    <w:p w14:paraId="18D1D14C"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 xml:space="preserve">Inverse Go: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shock</m:t>
              </m:r>
            </m:sub>
          </m:sSub>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wall</m:t>
              </m:r>
            </m:sub>
          </m:sSub>
          <m:r>
            <w:rPr>
              <w:rFonts w:ascii="Cambria Math" w:eastAsia="Times New Roman" w:hAnsi="Cambria Math" w:cs="Times New Roman"/>
              <w:sz w:val="24"/>
              <w:szCs w:val="24"/>
            </w:rPr>
            <m:t>↓</m:t>
          </m:r>
        </m:oMath>
      </m:oMathPara>
    </w:p>
    <w:p w14:paraId="44570A14"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This interpretation aligns with research into shock control, boundary layer manipulation, and plasma flow interaction explored in hypersonic vehicle studies.</w:t>
      </w:r>
    </w:p>
    <w:p w14:paraId="5A2A8751" w14:textId="77777777"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t>Mach Regimes and Flow Behavior</w:t>
      </w:r>
    </w:p>
    <w:p w14:paraId="2C961767"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 xml:space="preserve">Reentry spans multiple Mach regimes, beginning near Mach 25 and decreasing through Mach 10 and below. Peak heating typically occurs between Mach 20 and Mach 10, where </w:t>
      </w:r>
      <w:r w:rsidRPr="000E5F82">
        <w:rPr>
          <w:rFonts w:ascii="Times New Roman" w:eastAsia="Times New Roman" w:hAnsi="Times New Roman" w:cs="Times New Roman"/>
          <w:sz w:val="24"/>
          <w:szCs w:val="24"/>
        </w:rPr>
        <w:lastRenderedPageBreak/>
        <w:t>atmospheric density becomes sufficient to sustain strong compression while velocity remains high. These regimes are documented in NASA hypersonic flight data and analyses of the Space Shuttle reentry profile.</w:t>
      </w:r>
    </w:p>
    <w:p w14:paraId="150C9041"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At Mach 10, the flow remains hypersonic but less extreme, providing a more accessible domain for studying flow control and shock-layer manipulation.</w:t>
      </w:r>
    </w:p>
    <w:p w14:paraId="1E06CC2E" w14:textId="77777777"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t>Atmospheric Skipping and Trajectory Control</w:t>
      </w:r>
    </w:p>
    <w:p w14:paraId="05D3CDE4"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Atmospheric skipping occurs when a vehicle enters at a shallow angle and generates sufficient lift to climb back into higher altitude. This condition depends on the balance between lift, weight, and entry angle, expressed as</w:t>
      </w:r>
    </w:p>
    <w:p w14:paraId="298E5AC1"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L&gt;W⋅</m:t>
          </m:r>
          <m:r>
            <m:rPr>
              <m:sty m:val="p"/>
            </m:rPr>
            <w:rPr>
              <w:rFonts w:ascii="Cambria Math" w:eastAsia="Times New Roman" w:hAnsi="Cambria Math" w:cs="Times New Roman"/>
              <w:sz w:val="24"/>
              <w:szCs w:val="24"/>
            </w:rPr>
            <m:t>sin</m:t>
          </m:r>
          <m:r>
            <w:rPr>
              <w:rFonts w:ascii="Cambria Math" w:eastAsia="Times New Roman" w:hAnsi="Cambria Math" w:cs="Times New Roman"/>
              <w:sz w:val="24"/>
              <w:szCs w:val="24"/>
            </w:rPr>
            <m:t>⁡(θ)</m:t>
          </m:r>
        </m:oMath>
      </m:oMathPara>
    </w:p>
    <w:p w14:paraId="553C570F"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This behavior has been studied in reentry trajectories of both Apollo missions and the Space Shuttle, where controlled lift allowed modulation of descent and heating.</w:t>
      </w:r>
    </w:p>
    <w:p w14:paraId="06E4B617" w14:textId="77777777"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t>Time Synchronization Framework</w:t>
      </w:r>
    </w:p>
    <w:p w14:paraId="0F2A4974"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To extend classical models, a timing-based framework is introduced. This approach defines a synchronization parameter between onboard time and a reference such as Coordinated Universal Time or atomic time standards maintained by organizations like National Institute of Standards and Technology.</w:t>
      </w:r>
    </w:p>
    <w:p w14:paraId="6450AA59" w14:textId="32949184"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 xml:space="preserve">The synchronization </w:t>
      </w:r>
      <w:r w:rsidRPr="000E5F82">
        <w:rPr>
          <w:rFonts w:ascii="Times New Roman" w:eastAsia="Times New Roman" w:hAnsi="Times New Roman" w:cs="Times New Roman"/>
          <w:sz w:val="24"/>
          <w:szCs w:val="24"/>
        </w:rPr>
        <w:t>conditions are</w:t>
      </w:r>
    </w:p>
    <w:p w14:paraId="05A415EA"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oMath>
      </m:oMathPara>
    </w:p>
    <w:p w14:paraId="02E975F9"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While not a direct physical force, this parameter can function as a control variable for coordinating system responses such as plasma injection or active flow control, consistent with modern control theory applied to aerospace systems.</w:t>
      </w:r>
    </w:p>
    <w:p w14:paraId="515F7B44" w14:textId="77777777"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t>Integrated Interpretation</w:t>
      </w:r>
    </w:p>
    <w:p w14:paraId="5708C72E"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The combined framework suggests that reentry behavior can be influenced not only by trajectory and material design but also by controlled modification of the flow field and synchronization of onboard systems. Increasing shock stand-off distance and coordinating system responses may reduce peak thermal loads without violating known physical laws.</w:t>
      </w:r>
    </w:p>
    <w:p w14:paraId="5F939677" w14:textId="77777777" w:rsid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p>
    <w:p w14:paraId="6E60769D" w14:textId="77777777" w:rsid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p>
    <w:p w14:paraId="06CE1AA3" w14:textId="3C0030E4" w:rsidR="000E5F82" w:rsidRPr="000E5F82" w:rsidRDefault="000E5F82" w:rsidP="000E5F82">
      <w:pPr>
        <w:spacing w:before="100" w:beforeAutospacing="1" w:after="100" w:afterAutospacing="1" w:line="240" w:lineRule="auto"/>
        <w:outlineLvl w:val="1"/>
        <w:rPr>
          <w:rFonts w:ascii="Times New Roman" w:eastAsia="Times New Roman" w:hAnsi="Times New Roman" w:cs="Times New Roman"/>
          <w:b/>
          <w:bCs/>
          <w:sz w:val="36"/>
          <w:szCs w:val="36"/>
        </w:rPr>
      </w:pPr>
      <w:r w:rsidRPr="000E5F82">
        <w:rPr>
          <w:rFonts w:ascii="Times New Roman" w:eastAsia="Times New Roman" w:hAnsi="Times New Roman" w:cs="Times New Roman"/>
          <w:b/>
          <w:bCs/>
          <w:sz w:val="36"/>
          <w:szCs w:val="36"/>
        </w:rPr>
        <w:lastRenderedPageBreak/>
        <w:t>Conclusion</w:t>
      </w:r>
    </w:p>
    <w:p w14:paraId="2BE09A69" w14:textId="77777777" w:rsidR="000E5F82" w:rsidRPr="000E5F82" w:rsidRDefault="000E5F82" w:rsidP="000E5F82">
      <w:pPr>
        <w:spacing w:before="100" w:beforeAutospacing="1" w:after="100" w:afterAutospacing="1" w:line="240" w:lineRule="auto"/>
        <w:rPr>
          <w:rFonts w:ascii="Times New Roman" w:eastAsia="Times New Roman" w:hAnsi="Times New Roman" w:cs="Times New Roman"/>
          <w:sz w:val="24"/>
          <w:szCs w:val="24"/>
        </w:rPr>
      </w:pPr>
      <w:r w:rsidRPr="000E5F82">
        <w:rPr>
          <w:rFonts w:ascii="Times New Roman" w:eastAsia="Times New Roman" w:hAnsi="Times New Roman" w:cs="Times New Roman"/>
          <w:sz w:val="24"/>
          <w:szCs w:val="24"/>
        </w:rPr>
        <w:t>Exiting Earth and reentering Earth represent fundamentally different regimes governed by opposing density gradients and compression behavior. Reentry heating arises from compressive effects at hypersonic velocity, particularly between Mach 20 and Mach 10. The framework developed here does not attempt to eliminate these effects but to redistribute them through shock-layer control and timing synchronization. By grounding the approach in established hypersonic physics while introducing a structured control layer, the model provides a defensible and testable extension suitable for further academic investigation.</w:t>
      </w:r>
    </w:p>
    <w:p w14:paraId="11AEDCB8" w14:textId="77777777" w:rsidR="000E5F82" w:rsidRDefault="000E5F82" w:rsidP="000E5F82"/>
    <w:p w14:paraId="6F5209A4" w14:textId="1A24D292" w:rsidR="00743C8D" w:rsidRDefault="00000000">
      <w:pPr>
        <w:jc w:val="center"/>
      </w:pPr>
      <w:r>
        <w:rPr>
          <w:noProof/>
        </w:rPr>
        <w:drawing>
          <wp:inline distT="0" distB="0" distL="0" distR="0" wp14:anchorId="5ECD6429" wp14:editId="5A9F910E">
            <wp:extent cx="259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Go_Zones_fo.png"/>
                    <pic:cNvPicPr/>
                  </pic:nvPicPr>
                  <pic:blipFill>
                    <a:blip r:embed="rId12"/>
                    <a:stretch>
                      <a:fillRect/>
                    </a:stretch>
                  </pic:blipFill>
                  <pic:spPr>
                    <a:xfrm>
                      <a:off x="0" y="0"/>
                      <a:ext cx="2590800" cy="2590800"/>
                    </a:xfrm>
                    <a:prstGeom prst="rect">
                      <a:avLst/>
                    </a:prstGeom>
                  </pic:spPr>
                </pic:pic>
              </a:graphicData>
            </a:graphic>
          </wp:inline>
        </w:drawing>
      </w:r>
    </w:p>
    <w:p w14:paraId="5027477F" w14:textId="77777777" w:rsidR="000E5F82" w:rsidRDefault="000E5F82">
      <w:pPr>
        <w:jc w:val="center"/>
      </w:pPr>
    </w:p>
    <w:p w14:paraId="3B324A82" w14:textId="77777777" w:rsidR="00743C8D" w:rsidRDefault="00000000">
      <w:pPr>
        <w:jc w:val="center"/>
      </w:pPr>
      <w:r>
        <w:rPr>
          <w:noProof/>
        </w:rPr>
        <w:drawing>
          <wp:inline distT="0" distB="0" distL="0" distR="0" wp14:anchorId="74478085" wp14:editId="7AAFEA54">
            <wp:extent cx="2657475" cy="23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rse_Go_NoGo_Warp_Launch.png"/>
                    <pic:cNvPicPr/>
                  </pic:nvPicPr>
                  <pic:blipFill>
                    <a:blip r:embed="rId13"/>
                    <a:stretch>
                      <a:fillRect/>
                    </a:stretch>
                  </pic:blipFill>
                  <pic:spPr>
                    <a:xfrm flipH="1">
                      <a:off x="0" y="0"/>
                      <a:ext cx="2694481" cy="2375830"/>
                    </a:xfrm>
                    <a:prstGeom prst="rect">
                      <a:avLst/>
                    </a:prstGeom>
                  </pic:spPr>
                </pic:pic>
              </a:graphicData>
            </a:graphic>
          </wp:inline>
        </w:drawing>
      </w:r>
    </w:p>
    <w:sectPr w:rsidR="00743C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53354">
    <w:abstractNumId w:val="8"/>
  </w:num>
  <w:num w:numId="2" w16cid:durableId="1260479220">
    <w:abstractNumId w:val="6"/>
  </w:num>
  <w:num w:numId="3" w16cid:durableId="647902711">
    <w:abstractNumId w:val="5"/>
  </w:num>
  <w:num w:numId="4" w16cid:durableId="551384860">
    <w:abstractNumId w:val="4"/>
  </w:num>
  <w:num w:numId="5" w16cid:durableId="2061205407">
    <w:abstractNumId w:val="7"/>
  </w:num>
  <w:num w:numId="6" w16cid:durableId="647127935">
    <w:abstractNumId w:val="3"/>
  </w:num>
  <w:num w:numId="7" w16cid:durableId="1304434337">
    <w:abstractNumId w:val="2"/>
  </w:num>
  <w:num w:numId="8" w16cid:durableId="461653720">
    <w:abstractNumId w:val="1"/>
  </w:num>
  <w:num w:numId="9" w16cid:durableId="149187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82"/>
    <w:rsid w:val="0015074B"/>
    <w:rsid w:val="0029639D"/>
    <w:rsid w:val="00326F90"/>
    <w:rsid w:val="00743C8D"/>
    <w:rsid w:val="00AA1D8D"/>
    <w:rsid w:val="00B47730"/>
    <w:rsid w:val="00BC0274"/>
    <w:rsid w:val="00C839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2B5E2"/>
  <w14:defaultImageDpi w14:val="300"/>
  <w15:docId w15:val="{BC9DFEEC-BC90-46A7-8744-8E047845F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956</Words>
  <Characters>5578</Characters>
  <Application>Microsoft Office Word</Application>
  <DocSecurity>0</DocSecurity>
  <Lines>113</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2026-04-17T00:24:00Z</dcterms:modified>
  <cp:category/>
</cp:coreProperties>
</file>