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74ED9" w14:textId="77777777" w:rsidR="00A26B5D" w:rsidRPr="00A26B5D" w:rsidRDefault="00A26B5D" w:rsidP="00A26B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6B5D">
        <w:rPr>
          <w:rFonts w:ascii="Times New Roman" w:eastAsia="Times New Roman" w:hAnsi="Times New Roman" w:cs="Times New Roman"/>
          <w:b/>
          <w:bCs/>
          <w:kern w:val="36"/>
          <w:sz w:val="48"/>
          <w:szCs w:val="48"/>
        </w:rPr>
        <w:t>Einstein Master Equation — Unified Stack Method Toward a Self-Consistent Spacetime Solution</w:t>
      </w:r>
    </w:p>
    <w:p w14:paraId="5C88DCC2"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Author: Gabino Casanova</w:t>
      </w:r>
    </w:p>
    <w:p w14:paraId="0989D71F"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Abstract</w:t>
      </w:r>
    </w:p>
    <w:p w14:paraId="080E6F2C" w14:textId="446C18D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 xml:space="preserve">The search for a unified description of spacetime, energy, matter, and quantum behavior remains one of the greatest unresolved problems in modern physics. Einstein’s field equations successfully describe gravitational curvature at large scales, while Quantum Field Theory explains particle interactions at microscopic scales. However, both frameworks remain mathematically incomplete when directly coupled. This paper upgrades the Einstein Master Equation into a structured stack method, where each physical layer builds upon the previous one: energy, energy density, stress–energy, spacetime curvature, proper time, clock measurements, synchronization error, and Curvature Synchronization Theory (CST) control. This layered approach provides a clearer mathematical pathway from mass–energy equivalence to operational spacetime control. Rather than treating gravity and quantum effects as separate domains, the stack method interprets them as different levels of one self-consistent system. The objective is not to claim a solved theory of quantum gravity, but to provide a physically interpretable and falsifiable framework for research, simulation, and future testing. The original document establishes the Einstein Master Equation </w:t>
      </w:r>
      <w:r w:rsidRPr="00A26B5D">
        <w:rPr>
          <w:rFonts w:ascii="Times New Roman" w:eastAsia="Times New Roman" w:hAnsi="Times New Roman" w:cs="Times New Roman"/>
          <w:sz w:val="24"/>
          <w:szCs w:val="24"/>
        </w:rPr>
        <w:t>foundation,</w:t>
      </w:r>
      <w:r w:rsidRPr="00A26B5D">
        <w:rPr>
          <w:rFonts w:ascii="Times New Roman" w:eastAsia="Times New Roman" w:hAnsi="Times New Roman" w:cs="Times New Roman"/>
          <w:sz w:val="24"/>
          <w:szCs w:val="24"/>
        </w:rPr>
        <w:t xml:space="preserve"> and this upgraded version extends it into a unified control architecture.</w:t>
      </w:r>
    </w:p>
    <w:p w14:paraId="2CCB9339"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Introduction</w:t>
      </w:r>
    </w:p>
    <w:p w14:paraId="18DBB9F1" w14:textId="3830EB14"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 xml:space="preserve">Einstein’s General Relativity established that gravity is not a force in the traditional sense, but the manifestation of curved spacetime caused by mass and energy. The Einstein Field Equations relate geometry to matter through the stress–energy tensor. Meanwhile, Quantum Field Theory describes the universe as </w:t>
      </w:r>
      <w:r w:rsidRPr="00A26B5D">
        <w:rPr>
          <w:rFonts w:ascii="Times New Roman" w:eastAsia="Times New Roman" w:hAnsi="Times New Roman" w:cs="Times New Roman"/>
          <w:sz w:val="24"/>
          <w:szCs w:val="24"/>
        </w:rPr>
        <w:t>interacting with</w:t>
      </w:r>
      <w:r w:rsidRPr="00A26B5D">
        <w:rPr>
          <w:rFonts w:ascii="Times New Roman" w:eastAsia="Times New Roman" w:hAnsi="Times New Roman" w:cs="Times New Roman"/>
          <w:sz w:val="24"/>
          <w:szCs w:val="24"/>
        </w:rPr>
        <w:t xml:space="preserve"> quantum fields with vacuum fluctuations and probabilistic states.</w:t>
      </w:r>
    </w:p>
    <w:p w14:paraId="407909EC" w14:textId="77777777" w:rsid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The major unresolved issue is that General Relativity is continuous and geometric, while quantum mechanics is discrete and probabilistic. Attempts to quantize gravity directly produce infinities and instability, especially in vacuum energy calculations. This difficulty has motivated semi-classical gravity approaches where spacetime responds to the expectation value of quantum stress–energy.</w:t>
      </w:r>
    </w:p>
    <w:p w14:paraId="3B43A9B2"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p>
    <w:p w14:paraId="7E7E857D" w14:textId="5ACDB708"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lastRenderedPageBreak/>
        <w:t xml:space="preserve">The uploaded document correctly introduces this as the Einstein Master </w:t>
      </w:r>
      <w:r w:rsidRPr="00A26B5D">
        <w:rPr>
          <w:rFonts w:ascii="Times New Roman" w:eastAsia="Times New Roman" w:hAnsi="Times New Roman" w:cs="Times New Roman"/>
          <w:sz w:val="24"/>
          <w:szCs w:val="24"/>
        </w:rPr>
        <w:t>Equation.</w:t>
      </w:r>
      <w:r w:rsidRPr="00A26B5D">
        <w:rPr>
          <w:rFonts w:ascii="Times New Roman" w:eastAsia="Times New Roman" w:hAnsi="Times New Roman" w:cs="Times New Roman"/>
          <w:sz w:val="24"/>
          <w:szCs w:val="24"/>
        </w:rPr>
        <w:t xml:space="preserve"> This paper expands that concept by introducing the Stack Method: a hierarchy of equations that shows how measurable clocks, synchronization, and CST control emerge naturally from Einstein’s equations rather than being separate assumptions.</w:t>
      </w:r>
    </w:p>
    <w:p w14:paraId="56D3F5AF"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The Eight-Layer Stack Method</w:t>
      </w:r>
    </w:p>
    <w:p w14:paraId="1C851C5C"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Layer 1: Energy Scale</w:t>
      </w:r>
    </w:p>
    <w:p w14:paraId="399DAA79"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The foundation begins with Einstein’s mass–energy equivalence:</w:t>
      </w:r>
    </w:p>
    <w:p w14:paraId="70A1AE82"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m:oMathPara>
    </w:p>
    <w:p w14:paraId="05B0A72B"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This equation defines the total energy available from matter and establishes the energetic budget required for curvature generation, propulsion systems, and relativistic effects. Any spacetime engineering proposal must begin with this energy accounting.</w:t>
      </w:r>
    </w:p>
    <w:p w14:paraId="6509CC80"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Layer 2: Energy Density</w:t>
      </w:r>
    </w:p>
    <w:p w14:paraId="43F726F6"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Energy must be distributed across a physical volume:</w:t>
      </w:r>
    </w:p>
    <w:p w14:paraId="7B9E8ABF" w14:textId="77777777" w:rsidR="00A26B5D" w:rsidRPr="00A26B5D" w:rsidRDefault="00A26B5D" w:rsidP="00A26B5D">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ρ=</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r>
                <w:rPr>
                  <w:rFonts w:ascii="Cambria Math" w:eastAsia="Times New Roman" w:hAnsi="Cambria Math" w:cs="Times New Roman"/>
                  <w:sz w:val="24"/>
                  <w:szCs w:val="24"/>
                </w:rPr>
                <m:t>V</m:t>
              </m:r>
            </m:den>
          </m:f>
          <m:r>
            <w:rPr>
              <w:rFonts w:ascii="Cambria Math" w:eastAsia="Times New Roman" w:hAnsi="Cambria Math" w:cs="Times New Roman"/>
              <w:sz w:val="24"/>
              <w:szCs w:val="24"/>
            </w:rPr>
            <w:br/>
          </m:r>
        </m:oMath>
      </m:oMathPara>
    </w:p>
    <w:p w14:paraId="0C3DCA5C"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High energy density, not total energy alone, determines whether measurable spacetime curvature becomes significant. Concentrated energy produces stronger curvature effects than diffuse energy.</w:t>
      </w:r>
    </w:p>
    <w:p w14:paraId="3988E066"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Layer 3: Stress–Energy Tensor</w:t>
      </w:r>
    </w:p>
    <w:p w14:paraId="53156CA4"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Energy density enters General Relativity through the stress–energy tensor:</w:t>
      </w:r>
    </w:p>
    <w:p w14:paraId="77F5A345" w14:textId="77777777" w:rsidR="00A26B5D" w:rsidRPr="00A26B5D" w:rsidRDefault="00A26B5D" w:rsidP="00A26B5D">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25858A26" w14:textId="67BD971F"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 xml:space="preserve">This tensor includes not only energy, but momentum, pressure, tension, and directional flow of energy. It is the true physical </w:t>
      </w:r>
      <w:r w:rsidRPr="00A26B5D">
        <w:rPr>
          <w:rFonts w:ascii="Times New Roman" w:eastAsia="Times New Roman" w:hAnsi="Times New Roman" w:cs="Times New Roman"/>
          <w:sz w:val="24"/>
          <w:szCs w:val="24"/>
        </w:rPr>
        <w:t>source</w:t>
      </w:r>
      <w:r w:rsidRPr="00A26B5D">
        <w:rPr>
          <w:rFonts w:ascii="Times New Roman" w:eastAsia="Times New Roman" w:hAnsi="Times New Roman" w:cs="Times New Roman"/>
          <w:sz w:val="24"/>
          <w:szCs w:val="24"/>
        </w:rPr>
        <w:t xml:space="preserve"> of gravity.</w:t>
      </w:r>
    </w:p>
    <w:p w14:paraId="220C018C" w14:textId="77777777" w:rsid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p>
    <w:p w14:paraId="4E002C27" w14:textId="77777777" w:rsid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p>
    <w:p w14:paraId="0F11A5DB" w14:textId="41A40FD5"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lastRenderedPageBreak/>
        <w:t>Layer 4: Einstein Field Equation</w:t>
      </w:r>
    </w:p>
    <w:p w14:paraId="33147210"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Spacetime responds to structured energy:</w:t>
      </w:r>
    </w:p>
    <w:p w14:paraId="3268AFCC"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m:oMathPara>
    </w:p>
    <w:p w14:paraId="752CF2BB"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This is the central geometric equation of General Relativity. The left side describes curvature, while the right side describes the matter–energy source.</w:t>
      </w:r>
    </w:p>
    <w:p w14:paraId="5868F707"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Layer 5: Proper Time</w:t>
      </w:r>
    </w:p>
    <w:p w14:paraId="4DD9B490"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Once curvature exists, local time changes:</w:t>
      </w:r>
    </w:p>
    <w:p w14:paraId="33F0DD2B" w14:textId="77777777" w:rsidR="00A26B5D" w:rsidRPr="00A26B5D" w:rsidRDefault="00A26B5D" w:rsidP="00A26B5D">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τ</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ν</m:t>
              </m:r>
            </m:sup>
          </m:sSup>
          <m:r>
            <w:rPr>
              <w:rFonts w:ascii="Cambria Math" w:eastAsia="Times New Roman" w:hAnsi="Cambria Math" w:cs="Times New Roman"/>
              <w:sz w:val="24"/>
              <w:szCs w:val="24"/>
            </w:rPr>
            <w:br/>
          </m:r>
        </m:oMath>
      </m:oMathPara>
    </w:p>
    <w:p w14:paraId="3A6180D4"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Proper time determines how clocks inside curved spacetime differ from clocks outside the system.</w:t>
      </w:r>
    </w:p>
    <w:p w14:paraId="4998266C"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Layer 6: Clock Measurements</w:t>
      </w:r>
    </w:p>
    <w:p w14:paraId="6D06DC2B"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Physical clocks measure accumulated proper time:</w:t>
      </w:r>
    </w:p>
    <w:p w14:paraId="3B393CC8" w14:textId="77777777" w:rsidR="00A26B5D" w:rsidRPr="00A26B5D" w:rsidRDefault="00A26B5D" w:rsidP="00A26B5D">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dτ</m:t>
          </m:r>
          <m:r>
            <w:rPr>
              <w:rFonts w:ascii="Cambria Math" w:eastAsia="Times New Roman" w:hAnsi="Cambria Math" w:cs="Times New Roman"/>
              <w:i/>
              <w:sz w:val="24"/>
              <w:szCs w:val="24"/>
            </w:rPr>
            <w:br/>
          </m:r>
        </m:oMath>
      </m:oMathPara>
    </w:p>
    <w:p w14:paraId="1DDD9282"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Different clocks—atomic clocks, UTC reference clocks, CST clocks, and interstellar navigation clocks—accumulate time differently depending on position and curvature.</w:t>
      </w:r>
    </w:p>
    <w:p w14:paraId="584A5480"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Layer 7: Synchronization Error</w:t>
      </w:r>
    </w:p>
    <w:p w14:paraId="36989315"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Differences between clocks become measurable:</w:t>
      </w:r>
    </w:p>
    <w:p w14:paraId="164F6BA4" w14:textId="77777777" w:rsidR="00A26B5D" w:rsidRPr="00A26B5D" w:rsidRDefault="00A26B5D" w:rsidP="00A26B5D">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w:br/>
          </m:r>
        </m:oMath>
      </m:oMathPara>
    </w:p>
    <w:p w14:paraId="7FE13257"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 xml:space="preserve">This term defines drift, mismatch, and operational instability. It becomes </w:t>
      </w:r>
      <w:proofErr w:type="gramStart"/>
      <w:r w:rsidRPr="00A26B5D">
        <w:rPr>
          <w:rFonts w:ascii="Times New Roman" w:eastAsia="Times New Roman" w:hAnsi="Times New Roman" w:cs="Times New Roman"/>
          <w:sz w:val="24"/>
          <w:szCs w:val="24"/>
        </w:rPr>
        <w:t>the</w:t>
      </w:r>
      <w:proofErr w:type="gramEnd"/>
      <w:r w:rsidRPr="00A26B5D">
        <w:rPr>
          <w:rFonts w:ascii="Times New Roman" w:eastAsia="Times New Roman" w:hAnsi="Times New Roman" w:cs="Times New Roman"/>
          <w:sz w:val="24"/>
          <w:szCs w:val="24"/>
        </w:rPr>
        <w:t xml:space="preserve"> observable quantity for correction.</w:t>
      </w:r>
    </w:p>
    <w:p w14:paraId="6D017072" w14:textId="77777777" w:rsid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p>
    <w:p w14:paraId="1CF94A16" w14:textId="77777777" w:rsid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p>
    <w:p w14:paraId="7D55238C" w14:textId="6B43A40C"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lastRenderedPageBreak/>
        <w:t>Layer 8: CST Objective Function</w:t>
      </w:r>
    </w:p>
    <w:p w14:paraId="46419A16"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Synchronization becomes a control law:</w:t>
      </w:r>
    </w:p>
    <w:p w14:paraId="5DC10AF1" w14:textId="77777777" w:rsidR="00A26B5D" w:rsidRPr="00A26B5D" w:rsidRDefault="00A26B5D" w:rsidP="00A26B5D">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51CDAE4B"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This equation defines Curvature Synchronization Theory as a minimization problem. The objective is to reduce timing mismatch and maintain stable proper-time alignment.</w:t>
      </w:r>
    </w:p>
    <w:p w14:paraId="5AA45EEB"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The Einstein Master Equation</w:t>
      </w:r>
    </w:p>
    <w:p w14:paraId="6EDA37E2"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 xml:space="preserve">The original document defines the coupled geometry–quantum system </w:t>
      </w:r>
      <w:proofErr w:type="gramStart"/>
      <w:r w:rsidRPr="00A26B5D">
        <w:rPr>
          <w:rFonts w:ascii="Times New Roman" w:eastAsia="Times New Roman" w:hAnsi="Times New Roman" w:cs="Times New Roman"/>
          <w:sz w:val="24"/>
          <w:szCs w:val="24"/>
        </w:rPr>
        <w:t>as :</w:t>
      </w:r>
      <w:proofErr w:type="gramEnd"/>
    </w:p>
    <w:p w14:paraId="449EC320" w14:textId="77777777" w:rsidR="00A26B5D" w:rsidRPr="00A26B5D" w:rsidRDefault="00A26B5D" w:rsidP="00A26B5D">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[g]=8πG</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T</m:t>
                      </m:r>
                    </m:e>
                  </m:acc>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vac</m:t>
                      </m:r>
                    </m:e>
                  </m:d>
                </m:sup>
              </m:sSub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μν</m:t>
                  </m:r>
                </m:sub>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feedback</m:t>
                      </m:r>
                    </m:e>
                  </m:d>
                </m:sup>
              </m:sSubSup>
            </m:e>
          </m:d>
          <m:r>
            <w:rPr>
              <w:rFonts w:ascii="Cambria Math" w:eastAsia="Times New Roman" w:hAnsi="Cambria Math" w:cs="Times New Roman"/>
              <w:sz w:val="24"/>
              <w:szCs w:val="24"/>
            </w:rPr>
            <w:br/>
          </m:r>
        </m:oMath>
      </m:oMathPara>
    </w:p>
    <w:p w14:paraId="19B07D5E"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and</w:t>
      </w:r>
    </w:p>
    <w:p w14:paraId="22C6315A" w14:textId="77777777" w:rsidR="00A26B5D" w:rsidRPr="00A26B5D" w:rsidRDefault="00A26B5D" w:rsidP="00A26B5D">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ρ</m:t>
                  </m:r>
                </m:e>
              </m:acc>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i</m:t>
              </m:r>
            </m:num>
            <m:den>
              <m:r>
                <m:rPr>
                  <m:sty m:val="p"/>
                </m:rPr>
                <w:rPr>
                  <w:rFonts w:ascii="Cambria Math" w:eastAsia="Times New Roman" w:hAnsi="Cambria Math" w:cs="Times New Roman"/>
                  <w:sz w:val="24"/>
                  <w:szCs w:val="24"/>
                </w:rPr>
                <m:t>ℏ</m:t>
              </m:r>
            </m:den>
          </m:f>
          <m:r>
            <w:rPr>
              <w:rFonts w:ascii="Cambria Math" w:eastAsia="Times New Roman" w:hAnsi="Cambria Math" w:cs="Times New Roman"/>
              <w:sz w:val="24"/>
              <w:szCs w:val="24"/>
            </w:rPr>
            <m:t>[</m:t>
          </m:r>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H</m:t>
              </m:r>
            </m:e>
          </m:acc>
          <m:r>
            <w:rPr>
              <w:rFonts w:ascii="Cambria Math" w:eastAsia="Times New Roman" w:hAnsi="Cambria Math" w:cs="Times New Roman"/>
              <w:sz w:val="24"/>
              <w:szCs w:val="24"/>
            </w:rPr>
            <m:t>(g),</m:t>
          </m:r>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ρ</m:t>
              </m:r>
            </m:e>
          </m:acc>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vac</m:t>
              </m:r>
            </m:sub>
          </m:sSub>
          <m:r>
            <w:rPr>
              <w:rFonts w:ascii="Cambria Math" w:eastAsia="Times New Roman" w:hAnsi="Cambria Math" w:cs="Times New Roman"/>
              <w:sz w:val="24"/>
              <w:szCs w:val="24"/>
            </w:rPr>
            <m:t>[</m:t>
          </m:r>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ρ</m:t>
              </m:r>
            </m:e>
          </m:acc>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feedback</m:t>
              </m:r>
            </m:sub>
          </m:sSub>
          <m:r>
            <w:rPr>
              <w:rFonts w:ascii="Cambria Math" w:eastAsia="Times New Roman" w:hAnsi="Cambria Math" w:cs="Times New Roman"/>
              <w:sz w:val="24"/>
              <w:szCs w:val="24"/>
            </w:rPr>
            <m:t>[</m:t>
          </m:r>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ρ</m:t>
              </m:r>
            </m:e>
          </m:acc>
          <m:r>
            <w:rPr>
              <w:rFonts w:ascii="Cambria Math" w:eastAsia="Times New Roman" w:hAnsi="Cambria Math" w:cs="Times New Roman"/>
              <w:sz w:val="24"/>
              <w:szCs w:val="24"/>
            </w:rPr>
            <m:t>]</m:t>
          </m:r>
          <m:r>
            <w:rPr>
              <w:rFonts w:ascii="Cambria Math" w:eastAsia="Times New Roman" w:hAnsi="Cambria Math" w:cs="Times New Roman"/>
              <w:i/>
              <w:sz w:val="24"/>
              <w:szCs w:val="24"/>
            </w:rPr>
            <w:br/>
          </m:r>
        </m:oMath>
      </m:oMathPara>
    </w:p>
    <w:p w14:paraId="286017FF"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These equations describe mutual dependence: geometry affects quantum evolution, and quantum evolution affects geometry.</w:t>
      </w:r>
    </w:p>
    <w:p w14:paraId="0985645C"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The stack method adds operational meaning by showing how measurable clocks and synchronization emerge from these equations.</w:t>
      </w:r>
    </w:p>
    <w:p w14:paraId="5D67E547"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Interpretation of the Quantum Slit Expansion Model</w:t>
      </w:r>
    </w:p>
    <w:p w14:paraId="75D3B60C" w14:textId="369601C4"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 xml:space="preserve">The uploaded document proposes a Quantum Slit Expansion Model where the early universe behaves like a multi-slit quantum interference </w:t>
      </w:r>
      <w:r w:rsidRPr="00A26B5D">
        <w:rPr>
          <w:rFonts w:ascii="Times New Roman" w:eastAsia="Times New Roman" w:hAnsi="Times New Roman" w:cs="Times New Roman"/>
          <w:sz w:val="24"/>
          <w:szCs w:val="24"/>
        </w:rPr>
        <w:t>system.</w:t>
      </w:r>
      <w:r w:rsidRPr="00A26B5D">
        <w:rPr>
          <w:rFonts w:ascii="Times New Roman" w:eastAsia="Times New Roman" w:hAnsi="Times New Roman" w:cs="Times New Roman"/>
          <w:sz w:val="24"/>
          <w:szCs w:val="24"/>
        </w:rPr>
        <w:t xml:space="preserve"> In this interpretation, galaxies </w:t>
      </w:r>
      <w:r w:rsidRPr="00A26B5D">
        <w:rPr>
          <w:rFonts w:ascii="Times New Roman" w:eastAsia="Times New Roman" w:hAnsi="Times New Roman" w:cs="Times New Roman"/>
          <w:sz w:val="24"/>
          <w:szCs w:val="24"/>
        </w:rPr>
        <w:t>form</w:t>
      </w:r>
      <w:r w:rsidRPr="00A26B5D">
        <w:rPr>
          <w:rFonts w:ascii="Times New Roman" w:eastAsia="Times New Roman" w:hAnsi="Times New Roman" w:cs="Times New Roman"/>
          <w:sz w:val="24"/>
          <w:szCs w:val="24"/>
        </w:rPr>
        <w:t xml:space="preserve"> standing-wave nodes, while cosmic voids emerge from destructive interference regions.</w:t>
      </w:r>
    </w:p>
    <w:p w14:paraId="55FBE1B8" w14:textId="15878AE1" w:rsid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 xml:space="preserve">This does not replace standard </w:t>
      </w:r>
      <w:r w:rsidRPr="00A26B5D">
        <w:rPr>
          <w:rFonts w:ascii="Times New Roman" w:eastAsia="Times New Roman" w:hAnsi="Times New Roman" w:cs="Times New Roman"/>
          <w:sz w:val="24"/>
          <w:szCs w:val="24"/>
        </w:rPr>
        <w:t>cosmology but</w:t>
      </w:r>
      <w:r w:rsidRPr="00A26B5D">
        <w:rPr>
          <w:rFonts w:ascii="Times New Roman" w:eastAsia="Times New Roman" w:hAnsi="Times New Roman" w:cs="Times New Roman"/>
          <w:sz w:val="24"/>
          <w:szCs w:val="24"/>
        </w:rPr>
        <w:t xml:space="preserve"> serves as a conceptual visualization of vacuum structure and curvature stabilization. It may be interpreted as a geometric analogy for large-scale structure formation rather than a direct replacement for inflationary cosmology.</w:t>
      </w:r>
    </w:p>
    <w:p w14:paraId="509C6090"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p>
    <w:p w14:paraId="3B0F3752"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lastRenderedPageBreak/>
        <w:t>Comparison with Standard General Relativity</w:t>
      </w:r>
    </w:p>
    <w:p w14:paraId="51CA18B5"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Standard General Relativity solves curvature once the stress–energy source is specified. It does not provide a built-in operational method for synchronizing multiple relativistic clocks across engineered spacetime systems.</w:t>
      </w:r>
    </w:p>
    <w:p w14:paraId="5122C260"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The stack method extends GR by introducing measurable control variables:</w:t>
      </w:r>
    </w:p>
    <w:p w14:paraId="3D87C8EC"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Atomic Clock → external absolute reference</w:t>
      </w:r>
    </w:p>
    <w:p w14:paraId="1D33DCBB"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UTC Clock → planetary civil synchronization</w:t>
      </w:r>
    </w:p>
    <w:p w14:paraId="69A7A0FD"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CST Clock → internal curvature control clock</w:t>
      </w:r>
    </w:p>
    <w:p w14:paraId="5ED7E672"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Interstellar Clock → navigation and mission-time reference</w:t>
      </w:r>
    </w:p>
    <w:p w14:paraId="1BB089C5"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This transforms Einstein’s equations from passive description into active synchronization architecture.</w:t>
      </w:r>
    </w:p>
    <w:p w14:paraId="5EA202B0"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Physical Limits and Scientific Caution</w:t>
      </w:r>
    </w:p>
    <w:p w14:paraId="084DF5A7"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This framework does not claim experimentally verified warp drive engineering or complete quantum gravity. Major unresolved issues remain:</w:t>
      </w:r>
    </w:p>
    <w:p w14:paraId="31D5C7BC"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Vacuum energy density remains inconsistent by many orders of magnitude between QFT and cosmology.</w:t>
      </w:r>
    </w:p>
    <w:p w14:paraId="715C3662"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Negative energy requirements in Alcubierre-type metrics remain physically problematic.</w:t>
      </w:r>
    </w:p>
    <w:p w14:paraId="799F4B8E"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Quantum gravity lacks a fully renormalized theory.</w:t>
      </w:r>
    </w:p>
    <w:p w14:paraId="6F226D76"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CST remains a proposed synchronization framework requiring experimental validation.</w:t>
      </w:r>
    </w:p>
    <w:p w14:paraId="16CE30D8"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Therefore, this paper should be treated as a structured theoretical model for investigation, not a completed engineering solution.</w:t>
      </w:r>
    </w:p>
    <w:p w14:paraId="6EC41488" w14:textId="77777777" w:rsid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p>
    <w:p w14:paraId="0CA519FF" w14:textId="77777777" w:rsid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p>
    <w:p w14:paraId="06476BD8" w14:textId="77777777" w:rsid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p>
    <w:p w14:paraId="29BAB37B" w14:textId="77777777" w:rsid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p>
    <w:p w14:paraId="7F349460" w14:textId="7D00FB6E"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lastRenderedPageBreak/>
        <w:t>Conclusion</w:t>
      </w:r>
    </w:p>
    <w:p w14:paraId="1F2D12C6"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Einstein’s Master Equation is best understood not as a single isolated formula, but as a full stack of connected physical laws. Energy produces density, density creates stress–energy, stress–energy curves spacetime, curvature alters proper time, clocks measure the result, synchronization reveals the mismatch, and CST provides the control objective.</w:t>
      </w:r>
    </w:p>
    <w:p w14:paraId="1F35FEFD"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This stack method offers a clearer path toward falsifiable spacetime engineering research by connecting Einstein’s geometry directly to measurable timing systems. Rather than asking how to “push space,” the better scientific question becomes how to maintain self-consistent curvature and synchronized proper time within a stable physical system.</w:t>
      </w:r>
    </w:p>
    <w:p w14:paraId="7583E734"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That shift—from force to synchronization—may be the most realistic path toward Einstein’s unfinished unification.</w:t>
      </w:r>
    </w:p>
    <w:p w14:paraId="6049B80A" w14:textId="77777777" w:rsidR="00A26B5D" w:rsidRPr="00A26B5D" w:rsidRDefault="00A26B5D" w:rsidP="00A26B5D">
      <w:pPr>
        <w:spacing w:before="100" w:beforeAutospacing="1" w:after="100" w:afterAutospacing="1" w:line="240" w:lineRule="auto"/>
        <w:outlineLvl w:val="1"/>
        <w:rPr>
          <w:rFonts w:ascii="Times New Roman" w:eastAsia="Times New Roman" w:hAnsi="Times New Roman" w:cs="Times New Roman"/>
          <w:b/>
          <w:bCs/>
          <w:sz w:val="36"/>
          <w:szCs w:val="36"/>
        </w:rPr>
      </w:pPr>
      <w:r w:rsidRPr="00A26B5D">
        <w:rPr>
          <w:rFonts w:ascii="Times New Roman" w:eastAsia="Times New Roman" w:hAnsi="Times New Roman" w:cs="Times New Roman"/>
          <w:b/>
          <w:bCs/>
          <w:sz w:val="36"/>
          <w:szCs w:val="36"/>
        </w:rPr>
        <w:t>References</w:t>
      </w:r>
    </w:p>
    <w:p w14:paraId="0726451B"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Einstein, A. (1915). The Field Equations of Gravitation.</w:t>
      </w:r>
    </w:p>
    <w:p w14:paraId="6235DEBE"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Misner, C. W., Thorne, K. S., Wheeler, J. A. Gravitation. W.H. Freeman.</w:t>
      </w:r>
    </w:p>
    <w:p w14:paraId="47AF193B"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Wald, R. M. General Relativity. University of Chicago Press.</w:t>
      </w:r>
    </w:p>
    <w:p w14:paraId="2367D017" w14:textId="40A69C75"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 xml:space="preserve">Hawking, S. W., Ellis, G. F. R. The </w:t>
      </w:r>
      <w:r w:rsidRPr="00A26B5D">
        <w:rPr>
          <w:rFonts w:ascii="Times New Roman" w:eastAsia="Times New Roman" w:hAnsi="Times New Roman" w:cs="Times New Roman"/>
          <w:sz w:val="24"/>
          <w:szCs w:val="24"/>
        </w:rPr>
        <w:t>Large-Scale</w:t>
      </w:r>
      <w:r w:rsidRPr="00A26B5D">
        <w:rPr>
          <w:rFonts w:ascii="Times New Roman" w:eastAsia="Times New Roman" w:hAnsi="Times New Roman" w:cs="Times New Roman"/>
          <w:sz w:val="24"/>
          <w:szCs w:val="24"/>
        </w:rPr>
        <w:t xml:space="preserve"> Structure of Space-Time.</w:t>
      </w:r>
    </w:p>
    <w:p w14:paraId="60A6CC28"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Birrell, N. D., Davies, P. C. W. Quantum Fields in Curved Space.</w:t>
      </w:r>
    </w:p>
    <w:p w14:paraId="79F31782"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Carroll, S. Spacetime and Geometry.</w:t>
      </w:r>
    </w:p>
    <w:p w14:paraId="7DD9D587"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Alcubierre, M. (1994). The Warp Drive: Hyper-Fast Travel Within General Relativity.</w:t>
      </w:r>
    </w:p>
    <w:p w14:paraId="28E18D43" w14:textId="77777777" w:rsidR="00A26B5D" w:rsidRPr="00A26B5D" w:rsidRDefault="00A26B5D" w:rsidP="00A26B5D">
      <w:pPr>
        <w:spacing w:before="100" w:beforeAutospacing="1" w:after="100" w:afterAutospacing="1" w:line="240" w:lineRule="auto"/>
        <w:rPr>
          <w:rFonts w:ascii="Times New Roman" w:eastAsia="Times New Roman" w:hAnsi="Times New Roman" w:cs="Times New Roman"/>
          <w:sz w:val="24"/>
          <w:szCs w:val="24"/>
        </w:rPr>
      </w:pPr>
      <w:r w:rsidRPr="00A26B5D">
        <w:rPr>
          <w:rFonts w:ascii="Times New Roman" w:eastAsia="Times New Roman" w:hAnsi="Times New Roman" w:cs="Times New Roman"/>
          <w:sz w:val="24"/>
          <w:szCs w:val="24"/>
        </w:rPr>
        <w:t>Visser, M. Lorentzian Wormholes: From Einstein to Hawking.</w:t>
      </w:r>
    </w:p>
    <w:p w14:paraId="034F7A21" w14:textId="77777777" w:rsidR="00A26B5D" w:rsidRDefault="00A26B5D"/>
    <w:p w14:paraId="0AC4556E" w14:textId="423B9853" w:rsidR="00625B40" w:rsidRDefault="00000000" w:rsidP="00A26B5D">
      <w:pPr>
        <w:jc w:val="center"/>
      </w:pPr>
      <w:r>
        <w:rPr>
          <w:noProof/>
        </w:rPr>
        <w:drawing>
          <wp:inline distT="0" distB="0" distL="0" distR="0" wp14:anchorId="230AFE4D" wp14:editId="2CFDE761">
            <wp:extent cx="3848100"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2D_digital_illustration_diagram_titled_&quot;Quantum_.png"/>
                    <pic:cNvPicPr/>
                  </pic:nvPicPr>
                  <pic:blipFill>
                    <a:blip r:embed="rId6"/>
                    <a:stretch>
                      <a:fillRect/>
                    </a:stretch>
                  </pic:blipFill>
                  <pic:spPr>
                    <a:xfrm>
                      <a:off x="0" y="0"/>
                      <a:ext cx="3848100" cy="3848100"/>
                    </a:xfrm>
                    <a:prstGeom prst="rect">
                      <a:avLst/>
                    </a:prstGeom>
                  </pic:spPr>
                </pic:pic>
              </a:graphicData>
            </a:graphic>
          </wp:inline>
        </w:drawing>
      </w:r>
    </w:p>
    <w:p w14:paraId="21D9E6A0" w14:textId="77777777" w:rsidR="00A26B5D" w:rsidRDefault="00A26B5D" w:rsidP="00A26B5D">
      <w:pPr>
        <w:jc w:val="center"/>
      </w:pPr>
    </w:p>
    <w:p w14:paraId="77CBA04F" w14:textId="1EE4558A" w:rsidR="00A26B5D" w:rsidRDefault="00A26B5D" w:rsidP="00A26B5D">
      <w:pPr>
        <w:jc w:val="center"/>
      </w:pPr>
      <w:r>
        <w:rPr>
          <w:noProof/>
        </w:rPr>
        <w:lastRenderedPageBreak/>
        <w:drawing>
          <wp:inline distT="0" distB="0" distL="0" distR="0" wp14:anchorId="38B2600E" wp14:editId="7C6D8855">
            <wp:extent cx="5486400" cy="3657600"/>
            <wp:effectExtent l="0" t="0" r="0" b="0"/>
            <wp:docPr id="43317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5663" name="Picture 433175663"/>
                    <pic:cNvPicPr/>
                  </pic:nvPicPr>
                  <pic:blipFill>
                    <a:blip r:embed="rId7"/>
                    <a:stretch>
                      <a:fillRect/>
                    </a:stretch>
                  </pic:blipFill>
                  <pic:spPr>
                    <a:xfrm>
                      <a:off x="0" y="0"/>
                      <a:ext cx="5486400" cy="3657600"/>
                    </a:xfrm>
                    <a:prstGeom prst="rect">
                      <a:avLst/>
                    </a:prstGeom>
                  </pic:spPr>
                </pic:pic>
              </a:graphicData>
            </a:graphic>
          </wp:inline>
        </w:drawing>
      </w:r>
    </w:p>
    <w:sectPr w:rsidR="00A26B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845130">
    <w:abstractNumId w:val="8"/>
  </w:num>
  <w:num w:numId="2" w16cid:durableId="1787770069">
    <w:abstractNumId w:val="6"/>
  </w:num>
  <w:num w:numId="3" w16cid:durableId="994261700">
    <w:abstractNumId w:val="5"/>
  </w:num>
  <w:num w:numId="4" w16cid:durableId="479153682">
    <w:abstractNumId w:val="4"/>
  </w:num>
  <w:num w:numId="5" w16cid:durableId="1878354283">
    <w:abstractNumId w:val="7"/>
  </w:num>
  <w:num w:numId="6" w16cid:durableId="976177966">
    <w:abstractNumId w:val="3"/>
  </w:num>
  <w:num w:numId="7" w16cid:durableId="707337142">
    <w:abstractNumId w:val="2"/>
  </w:num>
  <w:num w:numId="8" w16cid:durableId="976758252">
    <w:abstractNumId w:val="1"/>
  </w:num>
  <w:num w:numId="9" w16cid:durableId="164049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B40"/>
    <w:rsid w:val="008F5587"/>
    <w:rsid w:val="00A26B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21A13"/>
  <w14:defaultImageDpi w14:val="300"/>
  <w15:docId w15:val="{9384CFC3-C73C-4853-8CF1-27FD8DDD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2026-04-24T20:36:00Z</dcterms:modified>
  <cp:category/>
</cp:coreProperties>
</file>