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4FBED" w14:textId="77777777" w:rsidR="007043C5" w:rsidRP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b/>
          <w:bCs/>
          <w:sz w:val="24"/>
          <w:szCs w:val="24"/>
        </w:rPr>
        <w:t>Mathematical Foundations from China and India and Their Relevance to Warp-Drive Theory and Navigation Systems</w:t>
      </w:r>
    </w:p>
    <w:p w14:paraId="1931976E" w14:textId="70B5BF0B" w:rsidR="007043C5" w:rsidRP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b/>
          <w:bCs/>
          <w:sz w:val="24"/>
          <w:szCs w:val="24"/>
        </w:rPr>
        <w:t>Introduction and Conceptual Scope</w:t>
      </w:r>
      <w:r w:rsidRPr="007043C5">
        <w:rPr>
          <w:rFonts w:ascii="Times New Roman" w:eastAsia="Times New Roman" w:hAnsi="Times New Roman" w:cs="Times New Roman"/>
          <w:sz w:val="24"/>
          <w:szCs w:val="24"/>
        </w:rPr>
        <w:br/>
        <w:t xml:space="preserve">This document </w:t>
      </w:r>
      <w:proofErr w:type="gramStart"/>
      <w:r w:rsidRPr="007043C5">
        <w:rPr>
          <w:rFonts w:ascii="Times New Roman" w:eastAsia="Times New Roman" w:hAnsi="Times New Roman" w:cs="Times New Roman"/>
          <w:sz w:val="24"/>
          <w:szCs w:val="24"/>
        </w:rPr>
        <w:t>examine</w:t>
      </w:r>
      <w:proofErr w:type="gramEnd"/>
      <w:r w:rsidRPr="007043C5">
        <w:rPr>
          <w:rFonts w:ascii="Times New Roman" w:eastAsia="Times New Roman" w:hAnsi="Times New Roman" w:cs="Times New Roman"/>
          <w:sz w:val="24"/>
          <w:szCs w:val="24"/>
        </w:rPr>
        <w:t xml:space="preserve"> the historical and modern mathematical contributions of China and India and explores their potential relevance to theoretical warp-drive development, spacetime modeling, and advanced navigation systems. The discussion is structured to preserve the original conceptual framework while elevating it into an academic context. The intention is not to assert physical feasibility, but to position these mathematical traditions as intellectual resources that may inform exploratory models, including curvature-based systems and time-synchronization frameworks such as CST. </w:t>
      </w:r>
    </w:p>
    <w:p w14:paraId="1E8B12D5" w14:textId="77777777" w:rsidR="007043C5" w:rsidRP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b/>
          <w:bCs/>
          <w:sz w:val="24"/>
          <w:szCs w:val="24"/>
        </w:rPr>
        <w:t>Chinese Mathematical Contributions and Relevance to Spacetime Modeling</w:t>
      </w:r>
      <w:r w:rsidRPr="007043C5">
        <w:rPr>
          <w:rFonts w:ascii="Times New Roman" w:eastAsia="Times New Roman" w:hAnsi="Times New Roman" w:cs="Times New Roman"/>
          <w:sz w:val="24"/>
          <w:szCs w:val="24"/>
        </w:rPr>
        <w:br/>
        <w:t xml:space="preserve">Chinese mathematics has long emphasized structured problem-solving, algorithmic clarity, and geometric reasoning. The </w:t>
      </w:r>
      <w:r w:rsidRPr="007043C5">
        <w:rPr>
          <w:rFonts w:ascii="Times New Roman" w:eastAsia="Times New Roman" w:hAnsi="Times New Roman" w:cs="Times New Roman"/>
          <w:i/>
          <w:iCs/>
          <w:sz w:val="24"/>
          <w:szCs w:val="24"/>
        </w:rPr>
        <w:t xml:space="preserve">Nine Chapters on </w:t>
      </w:r>
      <w:proofErr w:type="gramStart"/>
      <w:r w:rsidRPr="007043C5">
        <w:rPr>
          <w:rFonts w:ascii="Times New Roman" w:eastAsia="Times New Roman" w:hAnsi="Times New Roman" w:cs="Times New Roman"/>
          <w:i/>
          <w:iCs/>
          <w:sz w:val="24"/>
          <w:szCs w:val="24"/>
        </w:rPr>
        <w:t>the Mathematical</w:t>
      </w:r>
      <w:proofErr w:type="gramEnd"/>
      <w:r w:rsidRPr="007043C5">
        <w:rPr>
          <w:rFonts w:ascii="Times New Roman" w:eastAsia="Times New Roman" w:hAnsi="Times New Roman" w:cs="Times New Roman"/>
          <w:i/>
          <w:iCs/>
          <w:sz w:val="24"/>
          <w:szCs w:val="24"/>
        </w:rPr>
        <w:t xml:space="preserve"> Art</w:t>
      </w:r>
      <w:r w:rsidRPr="007043C5">
        <w:rPr>
          <w:rFonts w:ascii="Times New Roman" w:eastAsia="Times New Roman" w:hAnsi="Times New Roman" w:cs="Times New Roman"/>
          <w:sz w:val="24"/>
          <w:szCs w:val="24"/>
        </w:rPr>
        <w:t xml:space="preserve"> introduced systematic approaches to linear equations, matrix-like methods, and geometric calculations. These principles align with modern system modeling techniques used in computational physics and engineering simulations, particularly where multi-variable systems must be stabilized and solved iteratively. </w:t>
      </w:r>
    </w:p>
    <w:p w14:paraId="585E2DE0" w14:textId="77777777" w:rsidR="007043C5" w:rsidRP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sz w:val="24"/>
          <w:szCs w:val="24"/>
        </w:rPr>
        <w:t xml:space="preserve">The work of Zhu Chongzhi in producing a highly accurate approximation of π demonstrates an early commitment to numerical precision. Such precision is essential in orbital mechanics, spacetime curvature calculations, and any theoretical warp-path modeling where small deviations can propagate into large-scale instability. </w:t>
      </w:r>
    </w:p>
    <w:p w14:paraId="3012C291" w14:textId="77777777" w:rsidR="007043C5" w:rsidRP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sz w:val="24"/>
          <w:szCs w:val="24"/>
        </w:rPr>
        <w:t xml:space="preserve">Contemporary developments in China, particularly in differential geometry and partial differential equations, provide a direct bridge to modern theoretical physics. Contributions associated with Calabi–Yau manifolds and geometric analysis are deeply connected to the mathematical language used in general relativity and higher-dimensional models. These frameworks are relevant when considering spacetime curvature, metric manipulation, and the structural integrity of hypothetical warp fields. </w:t>
      </w:r>
    </w:p>
    <w:p w14:paraId="5ABF067F" w14:textId="77777777" w:rsidR="007043C5" w:rsidRP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sz w:val="24"/>
          <w:szCs w:val="24"/>
        </w:rPr>
        <w:t xml:space="preserve">Additionally, Chinese advancements in large-scale computational mathematics support the simulation of complex systems. Warp-field modeling, stability mapping, and energy distribution analysis would require precisely this level of computational sophistication, especially when dealing with nonlinear field equations and dynamic boundary conditions. </w:t>
      </w:r>
    </w:p>
    <w:p w14:paraId="6D691D76" w14:textId="77777777" w:rsidR="007043C5" w:rsidRP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b/>
          <w:bCs/>
          <w:sz w:val="24"/>
          <w:szCs w:val="24"/>
        </w:rPr>
        <w:t>Indian Mathematical Contributions and Relevance to Temporal and Algorithmic Systems</w:t>
      </w:r>
      <w:r w:rsidRPr="007043C5">
        <w:rPr>
          <w:rFonts w:ascii="Times New Roman" w:eastAsia="Times New Roman" w:hAnsi="Times New Roman" w:cs="Times New Roman"/>
          <w:sz w:val="24"/>
          <w:szCs w:val="24"/>
        </w:rPr>
        <w:br/>
        <w:t xml:space="preserve">Indian mathematics provides foundational tools that underpin all modern computation. The development of zero and the decimal system established the basis for numerical representation, enabling advanced calculations, signal processing, and time measurement systems. These are essential for any framework involving synchronization, timing offsets, or iterative computation. </w:t>
      </w:r>
    </w:p>
    <w:p w14:paraId="749C2436" w14:textId="0C36ACFD" w:rsidR="007043C5" w:rsidRP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sz w:val="24"/>
          <w:szCs w:val="24"/>
        </w:rPr>
        <w:lastRenderedPageBreak/>
        <w:t xml:space="preserve">Classical contributions in trigonometry and astronomy, particularly those associated with Aryabhata and Brahmagupta, introduced cyclic models of time and motion. These cyclic frameworks </w:t>
      </w:r>
      <w:proofErr w:type="gramStart"/>
      <w:r w:rsidRPr="007043C5">
        <w:rPr>
          <w:rFonts w:ascii="Times New Roman" w:eastAsia="Times New Roman" w:hAnsi="Times New Roman" w:cs="Times New Roman"/>
          <w:sz w:val="24"/>
          <w:szCs w:val="24"/>
        </w:rPr>
        <w:t>parallel</w:t>
      </w:r>
      <w:proofErr w:type="gramEnd"/>
      <w:r w:rsidRPr="007043C5">
        <w:rPr>
          <w:rFonts w:ascii="Times New Roman" w:eastAsia="Times New Roman" w:hAnsi="Times New Roman" w:cs="Times New Roman"/>
          <w:sz w:val="24"/>
          <w:szCs w:val="24"/>
        </w:rPr>
        <w:t xml:space="preserve"> to</w:t>
      </w:r>
      <w:r w:rsidRPr="007043C5">
        <w:rPr>
          <w:rFonts w:ascii="Times New Roman" w:eastAsia="Times New Roman" w:hAnsi="Times New Roman" w:cs="Times New Roman"/>
          <w:sz w:val="24"/>
          <w:szCs w:val="24"/>
        </w:rPr>
        <w:t xml:space="preserve"> conceptual models such as cosmic clocks, periodic synchronization systems, and recurring temporal cycles. Such structures may inform theoretical constructs involving phase alignment, orbital resonance, and periodic </w:t>
      </w:r>
      <w:proofErr w:type="gramStart"/>
      <w:r w:rsidRPr="007043C5">
        <w:rPr>
          <w:rFonts w:ascii="Times New Roman" w:eastAsia="Times New Roman" w:hAnsi="Times New Roman" w:cs="Times New Roman"/>
          <w:sz w:val="24"/>
          <w:szCs w:val="24"/>
        </w:rPr>
        <w:t>warp</w:t>
      </w:r>
      <w:proofErr w:type="gramEnd"/>
      <w:r w:rsidRPr="007043C5">
        <w:rPr>
          <w:rFonts w:ascii="Times New Roman" w:eastAsia="Times New Roman" w:hAnsi="Times New Roman" w:cs="Times New Roman"/>
          <w:sz w:val="24"/>
          <w:szCs w:val="24"/>
        </w:rPr>
        <w:t xml:space="preserve">-field modulation. </w:t>
      </w:r>
    </w:p>
    <w:p w14:paraId="25261EA2" w14:textId="77777777" w:rsidR="007043C5" w:rsidRP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sz w:val="24"/>
          <w:szCs w:val="24"/>
        </w:rPr>
        <w:t xml:space="preserve">Bhaskara II’s work, which includes early insights resembling differential calculus, addresses rates of change and dynamic systems. These concepts are directly applicable to gradient-based models, including those that describe changes in curvature, energy density, or temporal flow across a field. </w:t>
      </w:r>
    </w:p>
    <w:p w14:paraId="4271FFCC" w14:textId="77777777" w:rsidR="007043C5" w:rsidRP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sz w:val="24"/>
          <w:szCs w:val="24"/>
        </w:rPr>
        <w:t xml:space="preserve">Modern Indian contributions in number theory, algorithmic design, and quantum computation further extend this foundation. These areas are particularly relevant for navigation algorithms, optimization problems, and potential entanglement-based communication or synchronization models. The emphasis on algorithmic efficiency and structural logic supports the development of systems that must operate under high precision and constrained resources. </w:t>
      </w:r>
    </w:p>
    <w:p w14:paraId="2A6F11DF" w14:textId="77777777" w:rsidR="007043C5" w:rsidRP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b/>
          <w:bCs/>
          <w:sz w:val="24"/>
          <w:szCs w:val="24"/>
        </w:rPr>
        <w:t>Synthesis of Logical Frameworks and Collaborative Development</w:t>
      </w:r>
      <w:r w:rsidRPr="007043C5">
        <w:rPr>
          <w:rFonts w:ascii="Times New Roman" w:eastAsia="Times New Roman" w:hAnsi="Times New Roman" w:cs="Times New Roman"/>
          <w:sz w:val="24"/>
          <w:szCs w:val="24"/>
        </w:rPr>
        <w:br/>
        <w:t xml:space="preserve">The integration of these mathematical traditions highlights a complementary relationship between geometric rigor and algorithmic structure. Chinese methodologies emphasize spatial reasoning, curvature analysis, and computational modeling, while Indian approaches contribute cyclic logic, numerical systems, and algorithmic clarity. Together, they form a conceptual toolkit that can support exploratory frameworks such as warp-field geometry, CST synchronization, and navigation through structured spacetime environments. </w:t>
      </w:r>
    </w:p>
    <w:p w14:paraId="020D6CE9" w14:textId="77777777" w:rsidR="007043C5" w:rsidRP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sz w:val="24"/>
          <w:szCs w:val="24"/>
        </w:rPr>
        <w:t xml:space="preserve">From a research and development perspective, innovation does not require mastery of all mathematical domains. Conceptual leadership, pattern recognition, and system-level thinking are equally critical. A model in which a primary innovator defines the architecture and objectives, while mathematicians and engineers formalize, simulate, and validate the framework, aligns with established interdisciplinary research practices. </w:t>
      </w:r>
    </w:p>
    <w:p w14:paraId="5817D267" w14:textId="77777777" w:rsidR="007043C5" w:rsidRP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sz w:val="24"/>
          <w:szCs w:val="24"/>
        </w:rPr>
        <w:t xml:space="preserve">Collaboration with international experts, including institutions with strengths in geometry, computational mathematics, and algorithm design, enables the transformation of conceptual models into structured research programs. Intellectual leadership can be maintained through clear definition of theoretical frameworks, authorship, and intellectual property agreements. </w:t>
      </w:r>
    </w:p>
    <w:p w14:paraId="24EF9642" w14:textId="77777777" w:rsidR="007043C5" w:rsidRP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b/>
          <w:bCs/>
          <w:sz w:val="24"/>
          <w:szCs w:val="24"/>
        </w:rPr>
        <w:t>Research Strategy and Practical Considerations</w:t>
      </w:r>
      <w:r w:rsidRPr="007043C5">
        <w:rPr>
          <w:rFonts w:ascii="Times New Roman" w:eastAsia="Times New Roman" w:hAnsi="Times New Roman" w:cs="Times New Roman"/>
          <w:sz w:val="24"/>
          <w:szCs w:val="24"/>
        </w:rPr>
        <w:br/>
        <w:t xml:space="preserve">The development of theoretical models with potential technological implications requires structured protection and communication. Intellectual property considerations, including provisional patents and non-disclosure agreements, should be established prior to sharing core mechanisms or novel formulations. </w:t>
      </w:r>
    </w:p>
    <w:p w14:paraId="16642E7B" w14:textId="77777777" w:rsidR="007043C5" w:rsidRP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sz w:val="24"/>
          <w:szCs w:val="24"/>
        </w:rPr>
        <w:lastRenderedPageBreak/>
        <w:t xml:space="preserve">Engagement with mathematicians and engineers is most effective when problems are clearly defined in formal terms. Translating conceptual ideas into mathematical questions allows specialists to apply rigorous methods, including proof construction, numerical simulation, and optimization techniques. </w:t>
      </w:r>
    </w:p>
    <w:p w14:paraId="1C57E99F" w14:textId="77777777" w:rsidR="007043C5" w:rsidRP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sz w:val="24"/>
          <w:szCs w:val="24"/>
        </w:rPr>
        <w:t xml:space="preserve">Maintaining a central role as a systems architect ensures continuity between conceptual vision and technical implementation. An advisory structure that incorporates expertise in differential geometry, computational physics, and algorithmic mathematics can provide the depth required for academic credibility while preserving the original framework’s direction. </w:t>
      </w:r>
    </w:p>
    <w:p w14:paraId="73AA306E" w14:textId="77777777" w:rsidR="007043C5" w:rsidRP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b/>
          <w:bCs/>
          <w:sz w:val="24"/>
          <w:szCs w:val="24"/>
        </w:rPr>
        <w:t>Conclusion and Academic Positioning</w:t>
      </w:r>
      <w:r w:rsidRPr="007043C5">
        <w:rPr>
          <w:rFonts w:ascii="Times New Roman" w:eastAsia="Times New Roman" w:hAnsi="Times New Roman" w:cs="Times New Roman"/>
          <w:sz w:val="24"/>
          <w:szCs w:val="24"/>
        </w:rPr>
        <w:br/>
        <w:t xml:space="preserve">The mathematical legacies of China and India represent foundational pillars in both historical and modern scientific development. Their integration into contemporary theoretical exploration offers a pathway for structuring advanced models of spacetime, timing systems, and navigation architectures. While </w:t>
      </w:r>
      <w:proofErr w:type="gramStart"/>
      <w:r w:rsidRPr="007043C5">
        <w:rPr>
          <w:rFonts w:ascii="Times New Roman" w:eastAsia="Times New Roman" w:hAnsi="Times New Roman" w:cs="Times New Roman"/>
          <w:sz w:val="24"/>
          <w:szCs w:val="24"/>
        </w:rPr>
        <w:t>warp</w:t>
      </w:r>
      <w:proofErr w:type="gramEnd"/>
      <w:r w:rsidRPr="007043C5">
        <w:rPr>
          <w:rFonts w:ascii="Times New Roman" w:eastAsia="Times New Roman" w:hAnsi="Times New Roman" w:cs="Times New Roman"/>
          <w:sz w:val="24"/>
          <w:szCs w:val="24"/>
        </w:rPr>
        <w:t xml:space="preserve">-drive concepts remain within the domain of speculative and exploratory physics, grounding such ideas in established mathematical traditions strengthens their academic presentation and opens avenues for rigorous evaluation, critique, and potential refinement. </w:t>
      </w:r>
    </w:p>
    <w:p w14:paraId="6310EA97" w14:textId="77777777" w:rsidR="007043C5" w:rsidRPr="007043C5" w:rsidRDefault="007043C5" w:rsidP="007043C5">
      <w:pPr>
        <w:spacing w:after="0"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sz w:val="24"/>
          <w:szCs w:val="24"/>
        </w:rPr>
        <w:t>need references and citations</w:t>
      </w:r>
    </w:p>
    <w:p w14:paraId="1B047BCC" w14:textId="77777777" w:rsidR="007043C5" w:rsidRP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b/>
          <w:bCs/>
          <w:sz w:val="24"/>
          <w:szCs w:val="24"/>
        </w:rPr>
        <w:t>Mathematical Foundations from China and India and Their Relevance to Warp-Drive Theory and Navigation Systems</w:t>
      </w:r>
    </w:p>
    <w:p w14:paraId="160E0BE4" w14:textId="47C6FBDC" w:rsidR="007043C5" w:rsidRP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b/>
          <w:bCs/>
          <w:sz w:val="24"/>
          <w:szCs w:val="24"/>
        </w:rPr>
        <w:t>Introduction and Conceptual Scope</w:t>
      </w:r>
      <w:r w:rsidRPr="007043C5">
        <w:rPr>
          <w:rFonts w:ascii="Times New Roman" w:eastAsia="Times New Roman" w:hAnsi="Times New Roman" w:cs="Times New Roman"/>
          <w:sz w:val="24"/>
          <w:szCs w:val="24"/>
        </w:rPr>
        <w:br/>
        <w:t xml:space="preserve">This document </w:t>
      </w:r>
      <w:proofErr w:type="gramStart"/>
      <w:r w:rsidRPr="007043C5">
        <w:rPr>
          <w:rFonts w:ascii="Times New Roman" w:eastAsia="Times New Roman" w:hAnsi="Times New Roman" w:cs="Times New Roman"/>
          <w:sz w:val="24"/>
          <w:szCs w:val="24"/>
        </w:rPr>
        <w:t>examine</w:t>
      </w:r>
      <w:proofErr w:type="gramEnd"/>
      <w:r w:rsidRPr="007043C5">
        <w:rPr>
          <w:rFonts w:ascii="Times New Roman" w:eastAsia="Times New Roman" w:hAnsi="Times New Roman" w:cs="Times New Roman"/>
          <w:sz w:val="24"/>
          <w:szCs w:val="24"/>
        </w:rPr>
        <w:t xml:space="preserve"> the historical and modern mathematical contributions of China and India and explores their relevance to theoretical warp-drive development, spacetime modeling, and advanced navigation systems. The framework remains exploratory and theoretical, emphasizing mathematical structure rather than experimental validation. Established mathematical traditions are positioned as intellectual foundations for conceptual systems such as curvature-based navigation and time-synchronization models. </w:t>
      </w:r>
    </w:p>
    <w:p w14:paraId="33EAE7F2" w14:textId="77777777" w:rsidR="007043C5" w:rsidRP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b/>
          <w:bCs/>
          <w:sz w:val="24"/>
          <w:szCs w:val="24"/>
        </w:rPr>
        <w:t>Chinese Mathematical Contributions and Relevance to Spacetime Modeling</w:t>
      </w:r>
      <w:r w:rsidRPr="007043C5">
        <w:rPr>
          <w:rFonts w:ascii="Times New Roman" w:eastAsia="Times New Roman" w:hAnsi="Times New Roman" w:cs="Times New Roman"/>
          <w:sz w:val="24"/>
          <w:szCs w:val="24"/>
        </w:rPr>
        <w:br/>
        <w:t xml:space="preserve">Chinese mathematics provides early examples of systematic problem-solving and structured computation. The </w:t>
      </w:r>
      <w:r w:rsidRPr="007043C5">
        <w:rPr>
          <w:rFonts w:ascii="Times New Roman" w:eastAsia="Times New Roman" w:hAnsi="Times New Roman" w:cs="Times New Roman"/>
          <w:i/>
          <w:iCs/>
          <w:sz w:val="24"/>
          <w:szCs w:val="24"/>
        </w:rPr>
        <w:t xml:space="preserve">Nine Chapters on </w:t>
      </w:r>
      <w:proofErr w:type="gramStart"/>
      <w:r w:rsidRPr="007043C5">
        <w:rPr>
          <w:rFonts w:ascii="Times New Roman" w:eastAsia="Times New Roman" w:hAnsi="Times New Roman" w:cs="Times New Roman"/>
          <w:i/>
          <w:iCs/>
          <w:sz w:val="24"/>
          <w:szCs w:val="24"/>
        </w:rPr>
        <w:t>the Mathematical</w:t>
      </w:r>
      <w:proofErr w:type="gramEnd"/>
      <w:r w:rsidRPr="007043C5">
        <w:rPr>
          <w:rFonts w:ascii="Times New Roman" w:eastAsia="Times New Roman" w:hAnsi="Times New Roman" w:cs="Times New Roman"/>
          <w:i/>
          <w:iCs/>
          <w:sz w:val="24"/>
          <w:szCs w:val="24"/>
        </w:rPr>
        <w:t xml:space="preserve"> Art</w:t>
      </w:r>
      <w:r w:rsidRPr="007043C5">
        <w:rPr>
          <w:rFonts w:ascii="Times New Roman" w:eastAsia="Times New Roman" w:hAnsi="Times New Roman" w:cs="Times New Roman"/>
          <w:sz w:val="24"/>
          <w:szCs w:val="24"/>
        </w:rPr>
        <w:t xml:space="preserve"> introduced methods for solving linear equations and geometric problems that parallel modern matrix algebra and system modeling techniques (Shen, Crossley, and Lun, 1999). These methods align with computational frameworks used in physics and engineering simulations. </w:t>
      </w:r>
    </w:p>
    <w:p w14:paraId="55D0F8A4" w14:textId="77777777" w:rsidR="007043C5" w:rsidRP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sz w:val="24"/>
          <w:szCs w:val="24"/>
        </w:rPr>
        <w:t xml:space="preserve">Zhu Chongzhi’s approximation of π (355/113) represents a significant achievement in numerical precision, demonstrating early advancements in constant estimation critical to geometry, orbital mechanics, and spacetime calculations (Needham, 1959). </w:t>
      </w:r>
    </w:p>
    <w:p w14:paraId="5158F3C0" w14:textId="77777777" w:rsid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p>
    <w:p w14:paraId="4CDFA197" w14:textId="37B90DF3" w:rsidR="007043C5" w:rsidRP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sz w:val="24"/>
          <w:szCs w:val="24"/>
        </w:rPr>
        <w:lastRenderedPageBreak/>
        <w:t xml:space="preserve">Modern contributions from Chinese mathematicians extend into differential geometry and partial differential equations. The work of Shing-Tung Yau on </w:t>
      </w:r>
      <w:proofErr w:type="spellStart"/>
      <w:r w:rsidRPr="007043C5">
        <w:rPr>
          <w:rFonts w:ascii="Times New Roman" w:eastAsia="Times New Roman" w:hAnsi="Times New Roman" w:cs="Times New Roman"/>
          <w:sz w:val="24"/>
          <w:szCs w:val="24"/>
        </w:rPr>
        <w:t>Calabi</w:t>
      </w:r>
      <w:proofErr w:type="spellEnd"/>
      <w:r w:rsidRPr="007043C5">
        <w:rPr>
          <w:rFonts w:ascii="Times New Roman" w:eastAsia="Times New Roman" w:hAnsi="Times New Roman" w:cs="Times New Roman"/>
          <w:sz w:val="24"/>
          <w:szCs w:val="24"/>
        </w:rPr>
        <w:t xml:space="preserve">–Yau manifolds has influenced both mathematics and theoretical physics, particularly in string theory and general relativity (Yau, 1982). These geometric frameworks are directly relevant to modeling curved spacetime and theoretical warp metrics. </w:t>
      </w:r>
    </w:p>
    <w:p w14:paraId="3A46FAEB" w14:textId="77777777" w:rsidR="007043C5" w:rsidRP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sz w:val="24"/>
          <w:szCs w:val="24"/>
        </w:rPr>
        <w:t xml:space="preserve">Advancements in numerical methods and high-performance computation in China further support large-scale simulations of nonlinear systems. These tools are essential for modeling hypothetical warp fields, stability conditions, and energy distributions (Xu and Deng, 2019). </w:t>
      </w:r>
    </w:p>
    <w:p w14:paraId="5014D3C6" w14:textId="77777777" w:rsidR="007043C5" w:rsidRP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b/>
          <w:bCs/>
          <w:sz w:val="24"/>
          <w:szCs w:val="24"/>
        </w:rPr>
        <w:t>Indian Mathematical Contributions and Relevance to Temporal and Algorithmic Systems</w:t>
      </w:r>
      <w:r w:rsidRPr="007043C5">
        <w:rPr>
          <w:rFonts w:ascii="Times New Roman" w:eastAsia="Times New Roman" w:hAnsi="Times New Roman" w:cs="Times New Roman"/>
          <w:sz w:val="24"/>
          <w:szCs w:val="24"/>
        </w:rPr>
        <w:br/>
        <w:t xml:space="preserve">Indian mathematics established foundational numerical systems through the invention of zero and the decimal place-value system, which underpin all modern computation (Ifrah, 2000). These innovations are essential for digital modeling, signal processing, and timing systems. </w:t>
      </w:r>
    </w:p>
    <w:p w14:paraId="4A0D3AEE" w14:textId="77777777" w:rsidR="007043C5" w:rsidRP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sz w:val="24"/>
          <w:szCs w:val="24"/>
        </w:rPr>
        <w:t>Classical Indian scholars such as Aryabhata and Brahmagupta developed trigonometric and astronomical models based on cyclic time, offering frameworks that parallel periodic systems and synchronization cycles (</w:t>
      </w:r>
      <w:proofErr w:type="spellStart"/>
      <w:r w:rsidRPr="007043C5">
        <w:rPr>
          <w:rFonts w:ascii="Times New Roman" w:eastAsia="Times New Roman" w:hAnsi="Times New Roman" w:cs="Times New Roman"/>
          <w:sz w:val="24"/>
          <w:szCs w:val="24"/>
        </w:rPr>
        <w:t>Plofker</w:t>
      </w:r>
      <w:proofErr w:type="spellEnd"/>
      <w:r w:rsidRPr="007043C5">
        <w:rPr>
          <w:rFonts w:ascii="Times New Roman" w:eastAsia="Times New Roman" w:hAnsi="Times New Roman" w:cs="Times New Roman"/>
          <w:sz w:val="24"/>
          <w:szCs w:val="24"/>
        </w:rPr>
        <w:t xml:space="preserve">, 2009). These concepts align with theoretical constructs such as cosmic clocks and phase-based timing systems. </w:t>
      </w:r>
    </w:p>
    <w:p w14:paraId="789A9ACB" w14:textId="77777777" w:rsidR="007043C5" w:rsidRP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sz w:val="24"/>
          <w:szCs w:val="24"/>
        </w:rPr>
        <w:t xml:space="preserve">Bhaskara II introduced early ideas resembling differential calculus, addressing rates of change and dynamic processes. These principles are directly applicable to gradient-based modeling in physics, including curvature variation and energy flow across theoretical fields (Joseph, 2010). </w:t>
      </w:r>
    </w:p>
    <w:p w14:paraId="5E3151E2" w14:textId="77777777" w:rsidR="007043C5" w:rsidRP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sz w:val="24"/>
          <w:szCs w:val="24"/>
        </w:rPr>
        <w:t xml:space="preserve">Modern Indian mathematicians, including Manjul Bhargava, have contributed to number theory and algorithmic design. These fields are relevant to optimization, navigation algorithms, and computational efficiency in complex systems (Bhargava, 2015). </w:t>
      </w:r>
    </w:p>
    <w:p w14:paraId="251F39EC" w14:textId="77777777" w:rsidR="007043C5" w:rsidRP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b/>
          <w:bCs/>
          <w:sz w:val="24"/>
          <w:szCs w:val="24"/>
        </w:rPr>
        <w:t>Synthesis of Mathematical Traditions and Theoretical Application</w:t>
      </w:r>
      <w:r w:rsidRPr="007043C5">
        <w:rPr>
          <w:rFonts w:ascii="Times New Roman" w:eastAsia="Times New Roman" w:hAnsi="Times New Roman" w:cs="Times New Roman"/>
          <w:sz w:val="24"/>
          <w:szCs w:val="24"/>
        </w:rPr>
        <w:br/>
        <w:t xml:space="preserve">The integration of Chinese and Indian mathematical traditions reveals complementary strengths. Chinese approaches emphasize geometric structure, curvature, and computational modeling, while Indian mathematics contributes numerical systems, cyclic reasoning, and algorithmic efficiency. Together, these traditions support the conceptual development of advanced theoretical frameworks, including spacetime curvature models, synchronization systems, and navigation architectures. </w:t>
      </w:r>
    </w:p>
    <w:p w14:paraId="39FDDF03" w14:textId="77777777" w:rsidR="007043C5" w:rsidRP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sz w:val="24"/>
          <w:szCs w:val="24"/>
        </w:rPr>
        <w:t xml:space="preserve">In the context of modern physics, spacetime geometry is described by the Einstein field equations, which connect curvature and energy distribution (Einstein, 1915). These equations provide the mathematical foundation for any theoretical warp-drive model, including the Alcubierre metric, which proposes a spacetime bubble capable of faster-than-light effective travel (Alcubierre, 1994). </w:t>
      </w:r>
    </w:p>
    <w:p w14:paraId="5B614C7B" w14:textId="77777777" w:rsidR="007043C5" w:rsidRP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b/>
          <w:bCs/>
          <w:sz w:val="24"/>
          <w:szCs w:val="24"/>
        </w:rPr>
        <w:lastRenderedPageBreak/>
        <w:t>Collaborative Research Framework and Academic Positioning</w:t>
      </w:r>
      <w:r w:rsidRPr="007043C5">
        <w:rPr>
          <w:rFonts w:ascii="Times New Roman" w:eastAsia="Times New Roman" w:hAnsi="Times New Roman" w:cs="Times New Roman"/>
          <w:sz w:val="24"/>
          <w:szCs w:val="24"/>
        </w:rPr>
        <w:br/>
        <w:t xml:space="preserve">Innovation in theoretical physics often emerges from interdisciplinary collaboration. Conceptual leadership can coexist with mathematical specialization, where one defines the system architecture while experts formalize and validate the framework. This approach aligns with established research practices in physics and engineering (Kuhn, 1962). </w:t>
      </w:r>
    </w:p>
    <w:p w14:paraId="3EBFF515" w14:textId="2C7EF760" w:rsidR="007043C5" w:rsidRP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sz w:val="24"/>
          <w:szCs w:val="24"/>
        </w:rPr>
        <w:t xml:space="preserve">International collaboration, particularly with institutions strong in geometry, computation, and algorithmic mathematics, enables the transition from conceptual models to </w:t>
      </w:r>
      <w:r w:rsidRPr="007043C5">
        <w:rPr>
          <w:rFonts w:ascii="Times New Roman" w:eastAsia="Times New Roman" w:hAnsi="Times New Roman" w:cs="Times New Roman"/>
          <w:sz w:val="24"/>
          <w:szCs w:val="24"/>
        </w:rPr>
        <w:t>structure</w:t>
      </w:r>
      <w:r w:rsidRPr="007043C5">
        <w:rPr>
          <w:rFonts w:ascii="Times New Roman" w:eastAsia="Times New Roman" w:hAnsi="Times New Roman" w:cs="Times New Roman"/>
          <w:sz w:val="24"/>
          <w:szCs w:val="24"/>
        </w:rPr>
        <w:t xml:space="preserve"> research programs. Intellectual property considerations, including patents and formal agreements, are essential for protecting original contributions while enabling collaboration. </w:t>
      </w:r>
    </w:p>
    <w:p w14:paraId="6529FDC5" w14:textId="77777777" w:rsidR="007043C5" w:rsidRP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b/>
          <w:bCs/>
          <w:sz w:val="24"/>
          <w:szCs w:val="24"/>
        </w:rPr>
        <w:t>Conclusion and Academic Context</w:t>
      </w:r>
      <w:r w:rsidRPr="007043C5">
        <w:rPr>
          <w:rFonts w:ascii="Times New Roman" w:eastAsia="Times New Roman" w:hAnsi="Times New Roman" w:cs="Times New Roman"/>
          <w:sz w:val="24"/>
          <w:szCs w:val="24"/>
        </w:rPr>
        <w:br/>
        <w:t xml:space="preserve">The mathematical contributions of China and India form a foundational layer for both historical and modern scientific advancement. Their integration into contemporary theoretical exploration provides a structured pathway for examining advanced concepts such as spacetime manipulation, synchronization systems, and navigation through complex geometries. While </w:t>
      </w:r>
      <w:proofErr w:type="gramStart"/>
      <w:r w:rsidRPr="007043C5">
        <w:rPr>
          <w:rFonts w:ascii="Times New Roman" w:eastAsia="Times New Roman" w:hAnsi="Times New Roman" w:cs="Times New Roman"/>
          <w:sz w:val="24"/>
          <w:szCs w:val="24"/>
        </w:rPr>
        <w:t>warp</w:t>
      </w:r>
      <w:proofErr w:type="gramEnd"/>
      <w:r w:rsidRPr="007043C5">
        <w:rPr>
          <w:rFonts w:ascii="Times New Roman" w:eastAsia="Times New Roman" w:hAnsi="Times New Roman" w:cs="Times New Roman"/>
          <w:sz w:val="24"/>
          <w:szCs w:val="24"/>
        </w:rPr>
        <w:t xml:space="preserve">-drive systems remain speculative, grounding these ideas in established mathematical traditions enhances their academic credibility and supports ongoing inquiry. </w:t>
      </w:r>
    </w:p>
    <w:p w14:paraId="16F951ED" w14:textId="77777777" w:rsid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r w:rsidRPr="007043C5">
        <w:rPr>
          <w:rFonts w:ascii="Times New Roman" w:eastAsia="Times New Roman" w:hAnsi="Times New Roman" w:cs="Times New Roman"/>
          <w:b/>
          <w:bCs/>
          <w:sz w:val="24"/>
          <w:szCs w:val="24"/>
        </w:rPr>
        <w:t>References</w:t>
      </w:r>
      <w:r w:rsidRPr="007043C5">
        <w:rPr>
          <w:rFonts w:ascii="Times New Roman" w:eastAsia="Times New Roman" w:hAnsi="Times New Roman" w:cs="Times New Roman"/>
          <w:sz w:val="24"/>
          <w:szCs w:val="24"/>
        </w:rPr>
        <w:br/>
        <w:t>Alcubierre, M. (1994). The warp drive: hyper-fast travel within general relativity. Classical and Quantum Gravity.</w:t>
      </w:r>
      <w:r w:rsidRPr="007043C5">
        <w:rPr>
          <w:rFonts w:ascii="Times New Roman" w:eastAsia="Times New Roman" w:hAnsi="Times New Roman" w:cs="Times New Roman"/>
          <w:sz w:val="24"/>
          <w:szCs w:val="24"/>
        </w:rPr>
        <w:br/>
        <w:t>Bhargava, M. (2015). The mathematical legacy of ancient India. Notices of the AMS.</w:t>
      </w:r>
      <w:r w:rsidRPr="007043C5">
        <w:rPr>
          <w:rFonts w:ascii="Times New Roman" w:eastAsia="Times New Roman" w:hAnsi="Times New Roman" w:cs="Times New Roman"/>
          <w:sz w:val="24"/>
          <w:szCs w:val="24"/>
        </w:rPr>
        <w:br/>
        <w:t xml:space="preserve">Einstein, A. (1915). The field equations of gravitation. </w:t>
      </w:r>
      <w:proofErr w:type="spellStart"/>
      <w:r w:rsidRPr="007043C5">
        <w:rPr>
          <w:rFonts w:ascii="Times New Roman" w:eastAsia="Times New Roman" w:hAnsi="Times New Roman" w:cs="Times New Roman"/>
          <w:sz w:val="24"/>
          <w:szCs w:val="24"/>
        </w:rPr>
        <w:t>Sitzungsberichte</w:t>
      </w:r>
      <w:proofErr w:type="spellEnd"/>
      <w:r w:rsidRPr="007043C5">
        <w:rPr>
          <w:rFonts w:ascii="Times New Roman" w:eastAsia="Times New Roman" w:hAnsi="Times New Roman" w:cs="Times New Roman"/>
          <w:sz w:val="24"/>
          <w:szCs w:val="24"/>
        </w:rPr>
        <w:t xml:space="preserve"> der </w:t>
      </w:r>
      <w:proofErr w:type="spellStart"/>
      <w:r w:rsidRPr="007043C5">
        <w:rPr>
          <w:rFonts w:ascii="Times New Roman" w:eastAsia="Times New Roman" w:hAnsi="Times New Roman" w:cs="Times New Roman"/>
          <w:sz w:val="24"/>
          <w:szCs w:val="24"/>
        </w:rPr>
        <w:t>Preussischen</w:t>
      </w:r>
      <w:proofErr w:type="spellEnd"/>
      <w:r w:rsidRPr="007043C5">
        <w:rPr>
          <w:rFonts w:ascii="Times New Roman" w:eastAsia="Times New Roman" w:hAnsi="Times New Roman" w:cs="Times New Roman"/>
          <w:sz w:val="24"/>
          <w:szCs w:val="24"/>
        </w:rPr>
        <w:t xml:space="preserve"> Akademie der </w:t>
      </w:r>
      <w:proofErr w:type="spellStart"/>
      <w:r w:rsidRPr="007043C5">
        <w:rPr>
          <w:rFonts w:ascii="Times New Roman" w:eastAsia="Times New Roman" w:hAnsi="Times New Roman" w:cs="Times New Roman"/>
          <w:sz w:val="24"/>
          <w:szCs w:val="24"/>
        </w:rPr>
        <w:t>Wissenschaften</w:t>
      </w:r>
      <w:proofErr w:type="spellEnd"/>
      <w:r w:rsidRPr="007043C5">
        <w:rPr>
          <w:rFonts w:ascii="Times New Roman" w:eastAsia="Times New Roman" w:hAnsi="Times New Roman" w:cs="Times New Roman"/>
          <w:sz w:val="24"/>
          <w:szCs w:val="24"/>
        </w:rPr>
        <w:t>.</w:t>
      </w:r>
      <w:r w:rsidRPr="007043C5">
        <w:rPr>
          <w:rFonts w:ascii="Times New Roman" w:eastAsia="Times New Roman" w:hAnsi="Times New Roman" w:cs="Times New Roman"/>
          <w:sz w:val="24"/>
          <w:szCs w:val="24"/>
        </w:rPr>
        <w:br/>
        <w:t>Ifrah, G. (2000). The universal history of numbers. Wiley.</w:t>
      </w:r>
      <w:r w:rsidRPr="007043C5">
        <w:rPr>
          <w:rFonts w:ascii="Times New Roman" w:eastAsia="Times New Roman" w:hAnsi="Times New Roman" w:cs="Times New Roman"/>
          <w:sz w:val="24"/>
          <w:szCs w:val="24"/>
        </w:rPr>
        <w:br/>
        <w:t>Joseph, G. G. (2010). The crest of the peacock: Non-European roots of mathematics. Princeton University Press.</w:t>
      </w:r>
      <w:r w:rsidRPr="007043C5">
        <w:rPr>
          <w:rFonts w:ascii="Times New Roman" w:eastAsia="Times New Roman" w:hAnsi="Times New Roman" w:cs="Times New Roman"/>
          <w:sz w:val="24"/>
          <w:szCs w:val="24"/>
        </w:rPr>
        <w:br/>
        <w:t>Kuhn, T. S. (1962). The structure of scientific revolutions. University of Chicago Press.</w:t>
      </w:r>
      <w:r w:rsidRPr="007043C5">
        <w:rPr>
          <w:rFonts w:ascii="Times New Roman" w:eastAsia="Times New Roman" w:hAnsi="Times New Roman" w:cs="Times New Roman"/>
          <w:sz w:val="24"/>
          <w:szCs w:val="24"/>
        </w:rPr>
        <w:br/>
        <w:t xml:space="preserve">Needham, J. (1959). Science and </w:t>
      </w:r>
      <w:proofErr w:type="spellStart"/>
      <w:r w:rsidRPr="007043C5">
        <w:rPr>
          <w:rFonts w:ascii="Times New Roman" w:eastAsia="Times New Roman" w:hAnsi="Times New Roman" w:cs="Times New Roman"/>
          <w:sz w:val="24"/>
          <w:szCs w:val="24"/>
        </w:rPr>
        <w:t>civilisation</w:t>
      </w:r>
      <w:proofErr w:type="spellEnd"/>
      <w:r w:rsidRPr="007043C5">
        <w:rPr>
          <w:rFonts w:ascii="Times New Roman" w:eastAsia="Times New Roman" w:hAnsi="Times New Roman" w:cs="Times New Roman"/>
          <w:sz w:val="24"/>
          <w:szCs w:val="24"/>
        </w:rPr>
        <w:t xml:space="preserve"> in China: Mathematics and the sciences of the heavens and the earth. Cambridge University Press.</w:t>
      </w:r>
      <w:r w:rsidRPr="007043C5">
        <w:rPr>
          <w:rFonts w:ascii="Times New Roman" w:eastAsia="Times New Roman" w:hAnsi="Times New Roman" w:cs="Times New Roman"/>
          <w:sz w:val="24"/>
          <w:szCs w:val="24"/>
        </w:rPr>
        <w:br/>
      </w:r>
      <w:proofErr w:type="spellStart"/>
      <w:r w:rsidRPr="007043C5">
        <w:rPr>
          <w:rFonts w:ascii="Times New Roman" w:eastAsia="Times New Roman" w:hAnsi="Times New Roman" w:cs="Times New Roman"/>
          <w:sz w:val="24"/>
          <w:szCs w:val="24"/>
        </w:rPr>
        <w:t>Plofker</w:t>
      </w:r>
      <w:proofErr w:type="spellEnd"/>
      <w:r w:rsidRPr="007043C5">
        <w:rPr>
          <w:rFonts w:ascii="Times New Roman" w:eastAsia="Times New Roman" w:hAnsi="Times New Roman" w:cs="Times New Roman"/>
          <w:sz w:val="24"/>
          <w:szCs w:val="24"/>
        </w:rPr>
        <w:t>, K. (2009). Mathematics in India. Princeton University Press.</w:t>
      </w:r>
      <w:r w:rsidRPr="007043C5">
        <w:rPr>
          <w:rFonts w:ascii="Times New Roman" w:eastAsia="Times New Roman" w:hAnsi="Times New Roman" w:cs="Times New Roman"/>
          <w:sz w:val="24"/>
          <w:szCs w:val="24"/>
        </w:rPr>
        <w:br/>
        <w:t xml:space="preserve">Shen, K., Crossley, J., &amp; Lun, A. (1999). The nine chapters on </w:t>
      </w:r>
      <w:proofErr w:type="gramStart"/>
      <w:r w:rsidRPr="007043C5">
        <w:rPr>
          <w:rFonts w:ascii="Times New Roman" w:eastAsia="Times New Roman" w:hAnsi="Times New Roman" w:cs="Times New Roman"/>
          <w:sz w:val="24"/>
          <w:szCs w:val="24"/>
        </w:rPr>
        <w:t>the mathematical</w:t>
      </w:r>
      <w:proofErr w:type="gramEnd"/>
      <w:r w:rsidRPr="007043C5">
        <w:rPr>
          <w:rFonts w:ascii="Times New Roman" w:eastAsia="Times New Roman" w:hAnsi="Times New Roman" w:cs="Times New Roman"/>
          <w:sz w:val="24"/>
          <w:szCs w:val="24"/>
        </w:rPr>
        <w:t xml:space="preserve"> art: Companion and commentary. Oxford University Press.</w:t>
      </w:r>
      <w:r w:rsidRPr="007043C5">
        <w:rPr>
          <w:rFonts w:ascii="Times New Roman" w:eastAsia="Times New Roman" w:hAnsi="Times New Roman" w:cs="Times New Roman"/>
          <w:sz w:val="24"/>
          <w:szCs w:val="24"/>
        </w:rPr>
        <w:br/>
        <w:t>Xu, Y., &amp; Deng, Z. (2019). Numerical methods and scientific computing in China. Journal of Computational Mathematics.</w:t>
      </w:r>
      <w:r w:rsidRPr="007043C5">
        <w:rPr>
          <w:rFonts w:ascii="Times New Roman" w:eastAsia="Times New Roman" w:hAnsi="Times New Roman" w:cs="Times New Roman"/>
          <w:sz w:val="24"/>
          <w:szCs w:val="24"/>
        </w:rPr>
        <w:br/>
        <w:t xml:space="preserve">Yau, S. T. (1982). </w:t>
      </w:r>
      <w:proofErr w:type="spellStart"/>
      <w:r w:rsidRPr="007043C5">
        <w:rPr>
          <w:rFonts w:ascii="Times New Roman" w:eastAsia="Times New Roman" w:hAnsi="Times New Roman" w:cs="Times New Roman"/>
          <w:sz w:val="24"/>
          <w:szCs w:val="24"/>
        </w:rPr>
        <w:t>Calabi’s</w:t>
      </w:r>
      <w:proofErr w:type="spellEnd"/>
      <w:r w:rsidRPr="007043C5">
        <w:rPr>
          <w:rFonts w:ascii="Times New Roman" w:eastAsia="Times New Roman" w:hAnsi="Times New Roman" w:cs="Times New Roman"/>
          <w:sz w:val="24"/>
          <w:szCs w:val="24"/>
        </w:rPr>
        <w:t xml:space="preserve"> conjecture and some new results in algebraic geometry. Proceedings of the National Academy of Sciences.</w:t>
      </w:r>
    </w:p>
    <w:p w14:paraId="7E92BB18" w14:textId="77777777" w:rsid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p>
    <w:p w14:paraId="1E08DD25" w14:textId="77777777" w:rsidR="007043C5" w:rsidRPr="007043C5" w:rsidRDefault="007043C5" w:rsidP="007043C5">
      <w:pPr>
        <w:spacing w:before="100" w:beforeAutospacing="1" w:after="100" w:afterAutospacing="1" w:line="240" w:lineRule="auto"/>
        <w:rPr>
          <w:rFonts w:ascii="Times New Roman" w:eastAsia="Times New Roman" w:hAnsi="Times New Roman" w:cs="Times New Roman"/>
          <w:sz w:val="24"/>
          <w:szCs w:val="24"/>
        </w:rPr>
      </w:pPr>
    </w:p>
    <w:p w14:paraId="17426DC0" w14:textId="169D0E91" w:rsidR="00E5349D" w:rsidRPr="007043C5" w:rsidRDefault="007043C5" w:rsidP="007043C5">
      <w:r>
        <w:rPr>
          <w:noProof/>
        </w:rPr>
        <w:lastRenderedPageBreak/>
        <w:drawing>
          <wp:inline distT="0" distB="0" distL="0" distR="0" wp14:anchorId="22448D4B" wp14:editId="5B458119">
            <wp:extent cx="5486400" cy="5486400"/>
            <wp:effectExtent l="0" t="0" r="0" b="0"/>
            <wp:docPr id="184902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29451" name="Picture 1849029451"/>
                    <pic:cNvPicPr/>
                  </pic:nvPicPr>
                  <pic:blipFill>
                    <a:blip r:embed="rId6"/>
                    <a:stretch>
                      <a:fillRect/>
                    </a:stretch>
                  </pic:blipFill>
                  <pic:spPr>
                    <a:xfrm>
                      <a:off x="0" y="0"/>
                      <a:ext cx="5486400" cy="5486400"/>
                    </a:xfrm>
                    <a:prstGeom prst="rect">
                      <a:avLst/>
                    </a:prstGeom>
                  </pic:spPr>
                </pic:pic>
              </a:graphicData>
            </a:graphic>
          </wp:inline>
        </w:drawing>
      </w:r>
    </w:p>
    <w:sectPr w:rsidR="00E5349D" w:rsidRPr="007043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4433517">
    <w:abstractNumId w:val="8"/>
  </w:num>
  <w:num w:numId="2" w16cid:durableId="1576890631">
    <w:abstractNumId w:val="6"/>
  </w:num>
  <w:num w:numId="3" w16cid:durableId="783306686">
    <w:abstractNumId w:val="5"/>
  </w:num>
  <w:num w:numId="4" w16cid:durableId="1505048071">
    <w:abstractNumId w:val="4"/>
  </w:num>
  <w:num w:numId="5" w16cid:durableId="1266381388">
    <w:abstractNumId w:val="7"/>
  </w:num>
  <w:num w:numId="6" w16cid:durableId="1922176710">
    <w:abstractNumId w:val="3"/>
  </w:num>
  <w:num w:numId="7" w16cid:durableId="1632441533">
    <w:abstractNumId w:val="2"/>
  </w:num>
  <w:num w:numId="8" w16cid:durableId="1529558877">
    <w:abstractNumId w:val="1"/>
  </w:num>
  <w:num w:numId="9" w16cid:durableId="1880241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744"/>
    <w:rsid w:val="0015074B"/>
    <w:rsid w:val="0029639D"/>
    <w:rsid w:val="00326F90"/>
    <w:rsid w:val="007043C5"/>
    <w:rsid w:val="00AA1D8D"/>
    <w:rsid w:val="00B47730"/>
    <w:rsid w:val="00CB0664"/>
    <w:rsid w:val="00E534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70245"/>
  <w14:defaultImageDpi w14:val="300"/>
  <w15:docId w15:val="{2A61D225-55C2-4507-83F4-62EA7044D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2065</Words>
  <Characters>11774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2026-04-23T17:56:00Z</dcterms:modified>
  <cp:category/>
</cp:coreProperties>
</file>