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7800" w14:textId="77777777" w:rsidR="00B54B00" w:rsidRPr="00B54B00" w:rsidRDefault="00B54B00" w:rsidP="00B54B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B00">
        <w:rPr>
          <w:rFonts w:ascii="Times New Roman" w:eastAsia="Times New Roman" w:hAnsi="Times New Roman" w:cs="Times New Roman"/>
          <w:b/>
          <w:bCs/>
          <w:kern w:val="36"/>
          <w:sz w:val="48"/>
          <w:szCs w:val="48"/>
          <w14:ligatures w14:val="none"/>
        </w:rPr>
        <w:t>Curvature Synchronization and Positive-Energy Corridor Dynamics</w:t>
      </w:r>
    </w:p>
    <w:p w14:paraId="22474D34"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A Tug-Boat Hybrid Propulsion Interpretation Integrating Energy Density, Multi-Clock Time Systems, and Interstellar Calibration</w:t>
      </w:r>
    </w:p>
    <w:p w14:paraId="24697605"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Abstract</w:t>
      </w:r>
    </w:p>
    <w:p w14:paraId="7CE16525" w14:textId="727DE0E6"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work presents a revised theoretical framework for a positive-energy propulsion and corridor-compression system in which conventional propulsion, spacetime compression, and synchronized timing are treated as a coupled structure. The model does not assume faster-than-light local motion and does not rely on exotic </w:t>
      </w:r>
      <w:r w:rsidR="000003A9" w:rsidRPr="00B54B00">
        <w:rPr>
          <w:rFonts w:ascii="Times New Roman" w:eastAsia="Times New Roman" w:hAnsi="Times New Roman" w:cs="Times New Roman"/>
          <w:kern w:val="0"/>
          <w14:ligatures w14:val="none"/>
        </w:rPr>
        <w:t>matters</w:t>
      </w:r>
      <w:r w:rsidRPr="00B54B00">
        <w:rPr>
          <w:rFonts w:ascii="Times New Roman" w:eastAsia="Times New Roman" w:hAnsi="Times New Roman" w:cs="Times New Roman"/>
          <w:kern w:val="0"/>
          <w14:ligatures w14:val="none"/>
        </w:rPr>
        <w:t xml:space="preserve">. Instead, nuclear thermal, electric, and plasma-based subsystems are interpreted as a hybrid tug-boat architecture in which each propulsion layer contributes a distinct energetic role. The nuclear stage acts as the prime mover and bulk energy source, the electric stage acts as the steady cruise tug, and the plasma stage acts as the burst compression tug. Their combined energy contribution is translated into a unified corridor energy density through the mass-energy relation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B54B00">
        <w:rPr>
          <w:rFonts w:ascii="Times New Roman" w:eastAsia="Times New Roman" w:hAnsi="Times New Roman" w:cs="Times New Roman"/>
          <w:kern w:val="0"/>
          <w14:ligatures w14:val="none"/>
        </w:rPr>
        <w:t xml:space="preserve">, which functions here as an accounting operator rather than a literal claim of direct mass-to-warp conversion. The resulting corridor density governs the compression factor </w:t>
      </w:r>
      <m:oMath>
        <m:r>
          <w:rPr>
            <w:rFonts w:ascii="Cambria Math" w:eastAsia="Times New Roman" w:hAnsi="Cambria Math" w:cs="Times New Roman"/>
            <w:kern w:val="0"/>
            <w14:ligatures w14:val="none"/>
          </w:rPr>
          <m:t>k</m:t>
        </m:r>
      </m:oMath>
      <w:r w:rsidRPr="00B54B00">
        <w:rPr>
          <w:rFonts w:ascii="Times New Roman" w:eastAsia="Times New Roman" w:hAnsi="Times New Roman" w:cs="Times New Roman"/>
          <w:kern w:val="0"/>
          <w14:ligatures w14:val="none"/>
        </w:rPr>
        <w:t xml:space="preserve">, which modifies effective travel distance while local ship velocity remains subluminal. A Curvature Synchronization Theory layer links atomic clocks, UTC, spacecraft time, and interstellar timing references to provide a measurable control structure for stability and navigation. </w:t>
      </w:r>
    </w:p>
    <w:p w14:paraId="6DF239A5"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Introduction</w:t>
      </w:r>
    </w:p>
    <w:p w14:paraId="009A5CDE"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Advanced propulsion is usually framed as a problem of increasing raw velocity. In contrast, the present framework treats propulsion and geometry as distinct but coupled tasks. Conventional propulsion moves the craft locally, while corridor compression reduces the effective path length that must be traversed. This separation allows the system to remain locally subluminal while still producing large effective reductions in transit time. The theory therefore does not replace known propulsion with an entirely new mechanism. Instead, it embeds existing propulsion concepts inside a broader curvature-control framework. </w:t>
      </w:r>
    </w:p>
    <w:p w14:paraId="3CE94FBF"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 tug-boat interpretation is introduced to make the three-engine architecture mathematically and conceptually consistent. In this picture, the nuclear thermal subsystem provides the primary energy reservoir, the electric subsystem maintains controlled cruise motion, and the plasma subsystem provides high-density pulse loading for corridor compression. This removes the ambiguity that would arise if all three engines were treated as identical thrust devices. Their roles are different, but their energies enter the same corridor-density chain. </w:t>
      </w:r>
    </w:p>
    <w:p w14:paraId="5DA51479"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lastRenderedPageBreak/>
        <w:t>Unified Field Framework</w:t>
      </w:r>
    </w:p>
    <w:p w14:paraId="210F5334"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spacetime structure is governed by an extended stress-energy formulation</w:t>
      </w:r>
    </w:p>
    <w:p w14:paraId="63F7C549"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EM</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plasma</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photon</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control</m:t>
                  </m:r>
                </m:sup>
              </m:sSubSup>
            </m:e>
          </m:d>
          <m:r>
            <w:rPr>
              <w:rFonts w:ascii="Cambria Math" w:eastAsia="Times New Roman" w:hAnsi="Cambria Math" w:cs="Times New Roman"/>
              <w:kern w:val="0"/>
              <w14:ligatures w14:val="none"/>
            </w:rPr>
            <w:br/>
          </m:r>
        </m:oMath>
      </m:oMathPara>
    </w:p>
    <w:p w14:paraId="335861BB"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where the control term represents synchronization-dependent stabilization</w:t>
      </w:r>
    </w:p>
    <w:p w14:paraId="60A9FF19"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control</m:t>
              </m:r>
            </m:sup>
          </m:sSubSup>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AC5CD0"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Here,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oMath>
      <w:r w:rsidRPr="00B54B00">
        <w:rPr>
          <w:rFonts w:ascii="Times New Roman" w:eastAsia="Times New Roman" w:hAnsi="Times New Roman" w:cs="Times New Roman"/>
          <w:kern w:val="0"/>
          <w14:ligatures w14:val="none"/>
        </w:rPr>
        <w:t xml:space="preserve">represents the timing deviation between synchronized reference clocks. In this interpretation, time coherence is not an external readout but part of the control structure that influences corridor stability. </w:t>
      </w:r>
    </w:p>
    <w:p w14:paraId="137185A3"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Hybrid Tug-Boat Energy Architecture</w:t>
      </w:r>
    </w:p>
    <w:p w14:paraId="05206B40"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three propulsion subsystems are assigned distinct functions.</w:t>
      </w:r>
    </w:p>
    <w:p w14:paraId="47BF3018" w14:textId="40B52B19"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 nuclear thermal subsystem is the prime mover. It provides bulk energy input for reactor output, thermal loading, and corridor startup. The electric subsystem is </w:t>
      </w:r>
      <w:r w:rsidR="000003A9" w:rsidRPr="00B54B00">
        <w:rPr>
          <w:rFonts w:ascii="Times New Roman" w:eastAsia="Times New Roman" w:hAnsi="Times New Roman" w:cs="Times New Roman"/>
          <w:kern w:val="0"/>
          <w14:ligatures w14:val="none"/>
        </w:rPr>
        <w:t>a</w:t>
      </w:r>
      <w:r w:rsidRPr="00B54B00">
        <w:rPr>
          <w:rFonts w:ascii="Times New Roman" w:eastAsia="Times New Roman" w:hAnsi="Times New Roman" w:cs="Times New Roman"/>
          <w:kern w:val="0"/>
          <w14:ligatures w14:val="none"/>
        </w:rPr>
        <w:t xml:space="preserve"> steady tug. It maintains continuous subluminal ship motion and cruise-state stability. The plasma subsystem is the burst tug. It injects high-density energy pulses into the corridor and is the strongest direct contributor to short-duration compression changes. This </w:t>
      </w:r>
      <w:r w:rsidR="000003A9" w:rsidRPr="00B54B00">
        <w:rPr>
          <w:rFonts w:ascii="Times New Roman" w:eastAsia="Times New Roman" w:hAnsi="Times New Roman" w:cs="Times New Roman"/>
          <w:kern w:val="0"/>
          <w14:ligatures w14:val="none"/>
        </w:rPr>
        <w:t>role</w:t>
      </w:r>
      <w:r w:rsidRPr="00B54B00">
        <w:rPr>
          <w:rFonts w:ascii="Times New Roman" w:eastAsia="Times New Roman" w:hAnsi="Times New Roman" w:cs="Times New Roman"/>
          <w:kern w:val="0"/>
          <w14:ligatures w14:val="none"/>
        </w:rPr>
        <w:t xml:space="preserve"> preserves the physical distinction between propulsion, energetic loading, and corridor shaping while still allowing all three systems to enter one unified energy budget. </w:t>
      </w:r>
    </w:p>
    <w:p w14:paraId="0CA4EB41"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energy contribution of each subsystem is represented by an equivalent mass term</w:t>
      </w:r>
    </w:p>
    <w:p w14:paraId="2DE1CA9F"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4A26FD78"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with</w:t>
      </w:r>
    </w:p>
    <w:p w14:paraId="54D6B7EA"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eq,nuclear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eq,electric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eq,plasma</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5A653F"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use of </w:t>
      </w:r>
      <m:oMath>
        <m:r>
          <w:rPr>
            <w:rFonts w:ascii="Cambria Math" w:eastAsia="Times New Roman" w:hAnsi="Cambria Math" w:cs="Times New Roman"/>
            <w:kern w:val="0"/>
            <w14:ligatures w14:val="none"/>
          </w:rPr>
          <m:t>m=E</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B54B00">
        <w:rPr>
          <w:rFonts w:ascii="Times New Roman" w:eastAsia="Times New Roman" w:hAnsi="Times New Roman" w:cs="Times New Roman"/>
          <w:kern w:val="0"/>
          <w14:ligatures w14:val="none"/>
        </w:rPr>
        <w:t xml:space="preserve">is not interpreted as each engine literally converting mass into warp. It is used as a common energetic bookkeeping relation that allows the three propulsion channels to be written in one consistent mathematical form. </w:t>
      </w:r>
    </w:p>
    <w:p w14:paraId="108B27E4"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2EB088A" w14:textId="496DB37A"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lastRenderedPageBreak/>
        <w:t>Corridor Energy Density</w:t>
      </w:r>
    </w:p>
    <w:p w14:paraId="4DB36A20"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total corridor energy density is defined as</w:t>
      </w:r>
    </w:p>
    <w:p w14:paraId="76FB3F37"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control</m:t>
                  </m:r>
                </m:sub>
              </m:sSub>
            </m:num>
            <m:den>
              <m:r>
                <w:rPr>
                  <w:rFonts w:ascii="Cambria Math" w:eastAsia="Times New Roman" w:hAnsi="Cambria Math" w:cs="Times New Roman"/>
                  <w:kern w:val="0"/>
                  <w14:ligatures w14:val="none"/>
                </w:rPr>
                <m:t>V</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nuclear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electric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plasma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control</m:t>
                  </m:r>
                </m:sub>
              </m:sSub>
            </m:num>
            <m:den>
              <m:r>
                <w:rPr>
                  <w:rFonts w:ascii="Cambria Math" w:eastAsia="Times New Roman" w:hAnsi="Cambria Math" w:cs="Times New Roman"/>
                  <w:kern w:val="0"/>
                  <w14:ligatures w14:val="none"/>
                </w:rPr>
                <m:t>V</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B508E9" w14:textId="47BF95D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is the corrected form that should replace the earlier broader energy-density statement when the tug-boat hybrid interpretation is used. It </w:t>
      </w:r>
      <w:r w:rsidR="000003A9" w:rsidRPr="00B54B00">
        <w:rPr>
          <w:rFonts w:ascii="Times New Roman" w:eastAsia="Times New Roman" w:hAnsi="Times New Roman" w:cs="Times New Roman"/>
          <w:kern w:val="0"/>
          <w14:ligatures w14:val="none"/>
        </w:rPr>
        <w:t>makes it</w:t>
      </w:r>
      <w:r w:rsidRPr="00B54B00">
        <w:rPr>
          <w:rFonts w:ascii="Times New Roman" w:eastAsia="Times New Roman" w:hAnsi="Times New Roman" w:cs="Times New Roman"/>
          <w:kern w:val="0"/>
          <w14:ligatures w14:val="none"/>
        </w:rPr>
        <w:t xml:space="preserve"> explicit that the three engines contribute independently but combine into one shared corridor loading term. </w:t>
      </w:r>
    </w:p>
    <w:p w14:paraId="7F2383B8"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Compression Law</w:t>
      </w:r>
    </w:p>
    <w:p w14:paraId="10812913"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corridor compression factor is modeled phenomenologically by</w:t>
      </w:r>
    </w:p>
    <w:p w14:paraId="461181DD"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8AFCB76"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 effective travel time across a geometric distance </w:t>
      </w:r>
      <m:oMath>
        <m:r>
          <w:rPr>
            <w:rFonts w:ascii="Cambria Math" w:eastAsia="Times New Roman" w:hAnsi="Cambria Math" w:cs="Times New Roman"/>
            <w:kern w:val="0"/>
            <w14:ligatures w14:val="none"/>
          </w:rPr>
          <m:t>D</m:t>
        </m:r>
      </m:oMath>
      <w:r w:rsidRPr="00B54B00">
        <w:rPr>
          <w:rFonts w:ascii="Times New Roman" w:eastAsia="Times New Roman" w:hAnsi="Times New Roman" w:cs="Times New Roman"/>
          <w:kern w:val="0"/>
          <w14:ligatures w14:val="none"/>
        </w:rPr>
        <w:t>is</w:t>
      </w:r>
    </w:p>
    <w:p w14:paraId="7B1D2EFA"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Dk</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ship</m:t>
                  </m:r>
                </m:sub>
              </m:sSub>
            </m:den>
          </m:f>
          <m:r>
            <w:rPr>
              <w:rFonts w:ascii="Cambria Math" w:eastAsia="Times New Roman" w:hAnsi="Cambria Math" w:cs="Times New Roman"/>
              <w:kern w:val="0"/>
              <w14:ligatures w14:val="none"/>
            </w:rPr>
            <w:br/>
          </m:r>
        </m:oMath>
      </m:oMathPara>
    </w:p>
    <w:p w14:paraId="29A0271B"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 the effective transport speed is</w:t>
      </w:r>
    </w:p>
    <w:p w14:paraId="0008FB13"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ship</m:t>
                  </m:r>
                </m:sub>
              </m:sSub>
            </m:num>
            <m:den>
              <m:r>
                <w:rPr>
                  <w:rFonts w:ascii="Cambria Math" w:eastAsia="Times New Roman" w:hAnsi="Cambria Math" w:cs="Times New Roman"/>
                  <w:kern w:val="0"/>
                  <w14:ligatures w14:val="none"/>
                </w:rPr>
                <m:t>k</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394A738"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In this structure, the hybrid engine stack does not automatically change the local ship speed. Instead, it changes the corridor density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oMath>
      <w:r w:rsidRPr="00B54B00">
        <w:rPr>
          <w:rFonts w:ascii="Times New Roman" w:eastAsia="Times New Roman" w:hAnsi="Times New Roman" w:cs="Times New Roman"/>
          <w:kern w:val="0"/>
          <w14:ligatures w14:val="none"/>
        </w:rPr>
        <w:t xml:space="preserve">, which changes </w:t>
      </w:r>
      <m:oMath>
        <m:r>
          <w:rPr>
            <w:rFonts w:ascii="Cambria Math" w:eastAsia="Times New Roman" w:hAnsi="Cambria Math" w:cs="Times New Roman"/>
            <w:kern w:val="0"/>
            <w14:ligatures w14:val="none"/>
          </w:rPr>
          <m:t>k</m:t>
        </m:r>
      </m:oMath>
      <w:r w:rsidRPr="00B54B00">
        <w:rPr>
          <w:rFonts w:ascii="Times New Roman" w:eastAsia="Times New Roman" w:hAnsi="Times New Roman" w:cs="Times New Roman"/>
          <w:kern w:val="0"/>
          <w14:ligatures w14:val="none"/>
        </w:rPr>
        <w:t xml:space="preserve">, which then changes the effective transit rate. This is the key correction that keeps the propulsion interpretation internally consistent. </w:t>
      </w:r>
    </w:p>
    <w:p w14:paraId="40651AED"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721AE6"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C7B1A1"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D3D8F4"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E00CB4" w14:textId="53F63173"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lastRenderedPageBreak/>
        <w:t>Tug-Boat Calibration Parameters</w:t>
      </w:r>
    </w:p>
    <w:p w14:paraId="36541229"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To make the theory numerically usable, the model introduces phenomenological corridor parameters</w:t>
      </w:r>
    </w:p>
    <w:p w14:paraId="52496E48"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V=4.2×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w:br/>
          </m:r>
        </m:oMath>
      </m:oMathPara>
    </w:p>
    <w:p w14:paraId="6618B39E"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w:t>
      </w:r>
    </w:p>
    <w:p w14:paraId="5CAFB114"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Para>
    </w:p>
    <w:p w14:paraId="5B292FB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These are not presented as experimentally measured constants. They are calibration values chosen so that the tug-boat hybrid framework reproduces the compression regimes already assumed in the draft while remaining within the design constraint </w:t>
      </w:r>
      <m:oMath>
        <m:r>
          <w:rPr>
            <w:rFonts w:ascii="Cambria Math" w:eastAsia="Times New Roman" w:hAnsi="Cambria Math" w:cs="Times New Roman"/>
            <w:kern w:val="0"/>
            <w14:ligatures w14:val="none"/>
          </w:rPr>
          <m:t>0.003≤k≤1</m:t>
        </m:r>
      </m:oMath>
      <w:r w:rsidRPr="00B54B00">
        <w:rPr>
          <w:rFonts w:ascii="Times New Roman" w:eastAsia="Times New Roman" w:hAnsi="Times New Roman" w:cs="Times New Roman"/>
          <w:kern w:val="0"/>
          <w14:ligatures w14:val="none"/>
        </w:rPr>
        <w:t xml:space="preserve">. </w:t>
      </w:r>
    </w:p>
    <w:p w14:paraId="56179AED"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From the compression law,</w:t>
      </w:r>
    </w:p>
    <w:p w14:paraId="629F5913"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ln</m:t>
                  </m:r>
                </m:fName>
                <m:e>
                  <m:r>
                    <w:rPr>
                      <w:rFonts w:ascii="Cambria Math" w:eastAsia="Times New Roman" w:hAnsi="Cambria Math" w:cs="Times New Roman"/>
                      <w:kern w:val="0"/>
                      <w14:ligatures w14:val="none"/>
                    </w:rPr>
                    <m:t>k</m:t>
                  </m:r>
                </m:e>
              </m:func>
            </m:num>
            <m:den>
              <m:r>
                <w:rPr>
                  <w:rFonts w:ascii="Cambria Math" w:eastAsia="Times New Roman" w:hAnsi="Cambria Math" w:cs="Times New Roman"/>
                  <w:kern w:val="0"/>
                  <w14:ligatures w14:val="none"/>
                </w:rPr>
                <m:t>α</m:t>
              </m:r>
            </m:den>
          </m:f>
          <m:r>
            <w:rPr>
              <w:rFonts w:ascii="Cambria Math" w:eastAsia="Times New Roman" w:hAnsi="Cambria Math" w:cs="Times New Roman"/>
              <w:kern w:val="0"/>
              <w14:ligatures w14:val="none"/>
            </w:rPr>
            <w:br/>
          </m:r>
        </m:oMath>
      </m:oMathPara>
    </w:p>
    <w:p w14:paraId="16292C16"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 the active corridor energy becomes</w:t>
      </w:r>
    </w:p>
    <w:p w14:paraId="448CF6F9"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EB8406"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These two equations are the central practical bridge between the hybrid tug-boat interpretation and the numerical Mars scenarios. </w:t>
      </w:r>
    </w:p>
    <w:p w14:paraId="5C34C4A7"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Tug-Boat Loading Fractions</w:t>
      </w:r>
    </w:p>
    <w:p w14:paraId="6F6918DA"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For sustained boost operation, the corridor loading is partitioned as</w:t>
      </w:r>
    </w:p>
    <w:p w14:paraId="2DEB4966"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nuclear</m:t>
              </m:r>
            </m:sub>
          </m:sSub>
          <m:r>
            <w:rPr>
              <w:rFonts w:ascii="Cambria Math" w:eastAsia="Times New Roman" w:hAnsi="Cambria Math" w:cs="Times New Roman"/>
              <w:kern w:val="0"/>
              <w14:ligatures w14:val="none"/>
            </w:rPr>
            <m:t>=0.50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electric</m:t>
              </m:r>
            </m:sub>
          </m:sSub>
          <m:r>
            <w:rPr>
              <w:rFonts w:ascii="Cambria Math" w:eastAsia="Times New Roman" w:hAnsi="Cambria Math" w:cs="Times New Roman"/>
              <w:kern w:val="0"/>
              <w14:ligatures w14:val="none"/>
            </w:rPr>
            <m:t>=0.15</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plasma</m:t>
              </m:r>
            </m:sub>
          </m:sSub>
          <m:r>
            <w:rPr>
              <w:rFonts w:ascii="Cambria Math" w:eastAsia="Times New Roman" w:hAnsi="Cambria Math" w:cs="Times New Roman"/>
              <w:kern w:val="0"/>
              <w14:ligatures w14:val="none"/>
            </w:rPr>
            <m:t>=0.35</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E6C508" w14:textId="77777777" w:rsid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p>
    <w:p w14:paraId="2F315D17" w14:textId="77777777" w:rsid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p>
    <w:p w14:paraId="366B9E9A" w14:textId="2821AE88"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lastRenderedPageBreak/>
        <w:t xml:space="preserve">These fractions reflect the physical roles assigned in the tug-boat interpretation. Nuclear power dominates bulk energetic supply, electric propulsion supports controlled ship motion, and plasma provides the most direct compression-driving contribution. </w:t>
      </w:r>
    </w:p>
    <w:p w14:paraId="59B05DE6"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Local Ship Speed and Subluminal Condition</w:t>
      </w:r>
    </w:p>
    <w:p w14:paraId="5E0F263B"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local ship speed is retained as</w:t>
      </w:r>
    </w:p>
    <w:p w14:paraId="063A91EF"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ship</m:t>
              </m:r>
            </m:sub>
          </m:sSub>
          <m:r>
            <w:rPr>
              <w:rFonts w:ascii="Cambria Math" w:eastAsia="Times New Roman" w:hAnsi="Cambria Math" w:cs="Times New Roman"/>
              <w:kern w:val="0"/>
              <w14:ligatures w14:val="none"/>
            </w:rPr>
            <m:t>=192</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km/s.</m:t>
          </m:r>
          <m:r>
            <w:rPr>
              <w:rFonts w:ascii="Cambria Math" w:eastAsia="Times New Roman" w:hAnsi="Cambria Math" w:cs="Times New Roman"/>
              <w:kern w:val="0"/>
              <w14:ligatures w14:val="none"/>
            </w:rPr>
            <w:br/>
          </m:r>
        </m:oMath>
      </m:oMathPara>
    </w:p>
    <w:p w14:paraId="0FFD31E7"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value is not revised by the tug-boat upgrade itself. The theory improvement comes from the reduction of </w:t>
      </w:r>
      <m:oMath>
        <m:r>
          <w:rPr>
            <w:rFonts w:ascii="Cambria Math" w:eastAsia="Times New Roman" w:hAnsi="Cambria Math" w:cs="Times New Roman"/>
            <w:kern w:val="0"/>
            <w14:ligatures w14:val="none"/>
          </w:rPr>
          <m:t>k</m:t>
        </m:r>
      </m:oMath>
      <w:r w:rsidRPr="00B54B00">
        <w:rPr>
          <w:rFonts w:ascii="Times New Roman" w:eastAsia="Times New Roman" w:hAnsi="Times New Roman" w:cs="Times New Roman"/>
          <w:kern w:val="0"/>
          <w14:ligatures w14:val="none"/>
        </w:rPr>
        <w:t xml:space="preserve">, not from changing the raw local speed assumption. The system therefore remains subluminal by construction. </w:t>
      </w:r>
    </w:p>
    <w:p w14:paraId="7F70279B"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Mars Transit Scenarios</w:t>
      </w:r>
    </w:p>
    <w:p w14:paraId="0CAC6A76"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For a low tug mode, choose</w:t>
      </w:r>
    </w:p>
    <w:p w14:paraId="4D7CDBCD"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09246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Then</w:t>
      </w:r>
    </w:p>
    <w:p w14:paraId="5BC5A66E"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-0.25</m:t>
              </m:r>
            </m:sup>
          </m:sSup>
          <m:r>
            <w:rPr>
              <w:rFonts w:ascii="Cambria Math" w:eastAsia="Times New Roman" w:hAnsi="Cambria Math" w:cs="Times New Roman"/>
              <w:kern w:val="0"/>
              <w14:ligatures w14:val="none"/>
            </w:rPr>
            <m:t>≈0.779</m:t>
          </m:r>
          <m:r>
            <w:rPr>
              <w:rFonts w:ascii="Cambria Math" w:eastAsia="Times New Roman" w:hAnsi="Cambria Math" w:cs="Times New Roman"/>
              <w:i/>
              <w:kern w:val="0"/>
              <w14:ligatures w14:val="none"/>
            </w:rPr>
            <w:br/>
          </m:r>
        </m:oMath>
      </m:oMathPara>
    </w:p>
    <w:p w14:paraId="488EBA34"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so</w:t>
      </w:r>
    </w:p>
    <w:p w14:paraId="268A3A7A"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192</m:t>
              </m:r>
            </m:num>
            <m:den>
              <m:r>
                <w:rPr>
                  <w:rFonts w:ascii="Cambria Math" w:eastAsia="Times New Roman" w:hAnsi="Cambria Math" w:cs="Times New Roman"/>
                  <w:kern w:val="0"/>
                  <w14:ligatures w14:val="none"/>
                </w:rPr>
                <m:t>0.779</m:t>
              </m:r>
            </m:den>
          </m:f>
          <m:r>
            <w:rPr>
              <w:rFonts w:ascii="Cambria Math" w:eastAsia="Times New Roman" w:hAnsi="Cambria Math" w:cs="Times New Roman"/>
              <w:kern w:val="0"/>
              <w14:ligatures w14:val="none"/>
            </w:rPr>
            <m:t>≈246</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km/s.</m:t>
          </m:r>
          <m:r>
            <w:rPr>
              <w:rFonts w:ascii="Cambria Math" w:eastAsia="Times New Roman" w:hAnsi="Cambria Math" w:cs="Times New Roman"/>
              <w:kern w:val="0"/>
              <w14:ligatures w14:val="none"/>
            </w:rPr>
            <w:br/>
          </m:r>
        </m:oMath>
      </m:oMathPara>
    </w:p>
    <w:p w14:paraId="1FF22F24"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Using Mars close-approach distance</w:t>
      </w:r>
    </w:p>
    <w:p w14:paraId="2907433C"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D=5.46×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AB0F65"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travel time is</w:t>
      </w:r>
    </w:p>
    <w:p w14:paraId="3B7A4AD1"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5.46×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10</m:t>
                      </m:r>
                    </m:sup>
                  </m:sSup>
                  <m:r>
                    <w:rPr>
                      <w:rFonts w:ascii="Cambria Math" w:eastAsia="Times New Roman" w:hAnsi="Cambria Math" w:cs="Times New Roman"/>
                      <w:kern w:val="0"/>
                      <w14:ligatures w14:val="none"/>
                    </w:rPr>
                    <m:t>)(0.779</m:t>
                  </m:r>
                </m:e>
              </m:d>
            </m:num>
            <m:den>
              <m:r>
                <w:rPr>
                  <w:rFonts w:ascii="Cambria Math" w:eastAsia="Times New Roman" w:hAnsi="Cambria Math" w:cs="Times New Roman"/>
                  <w:kern w:val="0"/>
                  <w14:ligatures w14:val="none"/>
                </w:rPr>
                <m:t>1.92×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den>
          </m:f>
          <m:r>
            <w:rPr>
              <w:rFonts w:ascii="Cambria Math" w:eastAsia="Times New Roman" w:hAnsi="Cambria Math" w:cs="Times New Roman"/>
              <w:kern w:val="0"/>
              <w14:ligatures w14:val="none"/>
            </w:rPr>
            <m:t>≈2.22×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5</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m:t>≈61.7</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hours.</m:t>
          </m:r>
          <m:r>
            <w:rPr>
              <w:rFonts w:ascii="Cambria Math" w:eastAsia="Times New Roman" w:hAnsi="Cambria Math" w:cs="Times New Roman"/>
              <w:kern w:val="0"/>
              <w14:ligatures w14:val="none"/>
            </w:rPr>
            <w:br/>
          </m:r>
        </m:oMath>
      </m:oMathPara>
    </w:p>
    <w:p w14:paraId="5D95057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lastRenderedPageBreak/>
        <w:t xml:space="preserve">For sustained boost mode, set </w:t>
      </w:r>
      <m:oMath>
        <m:r>
          <w:rPr>
            <w:rFonts w:ascii="Cambria Math" w:eastAsia="Times New Roman" w:hAnsi="Cambria Math" w:cs="Times New Roman"/>
            <w:kern w:val="0"/>
            <w14:ligatures w14:val="none"/>
          </w:rPr>
          <m:t>k=0.1</m:t>
        </m:r>
      </m:oMath>
      <w:r w:rsidRPr="00B54B00">
        <w:rPr>
          <w:rFonts w:ascii="Times New Roman" w:eastAsia="Times New Roman" w:hAnsi="Times New Roman" w:cs="Times New Roman"/>
          <w:kern w:val="0"/>
          <w14:ligatures w14:val="none"/>
        </w:rPr>
        <w:t>. Then</w:t>
      </w:r>
    </w:p>
    <w:p w14:paraId="38FED83B"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⁡(0.1)</m:t>
              </m:r>
            </m:num>
            <m:den>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den>
          </m:f>
          <m:r>
            <w:rPr>
              <w:rFonts w:ascii="Cambria Math" w:eastAsia="Times New Roman" w:hAnsi="Cambria Math" w:cs="Times New Roman"/>
              <w:kern w:val="0"/>
              <w14:ligatures w14:val="none"/>
            </w:rPr>
            <m:t>≈4.61×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w:br/>
          </m:r>
        </m:oMath>
      </m:oMathPara>
    </w:p>
    <w:p w14:paraId="23BA25E7"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w:t>
      </w:r>
    </w:p>
    <w:p w14:paraId="374CD9EC"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m:t>≈(4.61×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12</m:t>
              </m:r>
            </m:sup>
          </m:sSup>
          <m:r>
            <w:rPr>
              <w:rFonts w:ascii="Cambria Math" w:eastAsia="Times New Roman" w:hAnsi="Cambria Math" w:cs="Times New Roman"/>
              <w:kern w:val="0"/>
              <w14:ligatures w14:val="none"/>
            </w:rPr>
            <m:t>)(4.2×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)≈1.94×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Para>
    </w:p>
    <w:p w14:paraId="1A5105C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This gives</w:t>
      </w:r>
    </w:p>
    <w:p w14:paraId="3156A0D8"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1,920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km/s</m:t>
          </m:r>
          <m:r>
            <w:rPr>
              <w:rFonts w:ascii="Cambria Math" w:eastAsia="Times New Roman" w:hAnsi="Cambria Math" w:cs="Times New Roman"/>
              <w:kern w:val="0"/>
              <w14:ligatures w14:val="none"/>
            </w:rPr>
            <w:br/>
          </m:r>
        </m:oMath>
      </m:oMathPara>
    </w:p>
    <w:p w14:paraId="63654F3D"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w:t>
      </w:r>
    </w:p>
    <w:p w14:paraId="409DD005"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T≈7.9</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hours.</m:t>
          </m:r>
          <m:r>
            <w:rPr>
              <w:rFonts w:ascii="Cambria Math" w:eastAsia="Times New Roman" w:hAnsi="Cambria Math" w:cs="Times New Roman"/>
              <w:kern w:val="0"/>
              <w14:ligatures w14:val="none"/>
            </w:rPr>
            <w:br/>
          </m:r>
        </m:oMath>
      </m:oMathPara>
    </w:p>
    <w:p w14:paraId="01422923"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For maximum allowed pulse mode, set </w:t>
      </w:r>
      <m:oMath>
        <m:r>
          <w:rPr>
            <w:rFonts w:ascii="Cambria Math" w:eastAsia="Times New Roman" w:hAnsi="Cambria Math" w:cs="Times New Roman"/>
            <w:kern w:val="0"/>
            <w14:ligatures w14:val="none"/>
          </w:rPr>
          <m:t>k=0.003</m:t>
        </m:r>
      </m:oMath>
      <w:r w:rsidRPr="00B54B00">
        <w:rPr>
          <w:rFonts w:ascii="Times New Roman" w:eastAsia="Times New Roman" w:hAnsi="Times New Roman" w:cs="Times New Roman"/>
          <w:kern w:val="0"/>
          <w14:ligatures w14:val="none"/>
        </w:rPr>
        <w:t>. Then</w:t>
      </w:r>
    </w:p>
    <w:p w14:paraId="6230C49B"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⁡(0.003)</m:t>
              </m:r>
            </m:num>
            <m:den>
              <m:r>
                <w:rPr>
                  <w:rFonts w:ascii="Cambria Math" w:eastAsia="Times New Roman" w:hAnsi="Cambria Math" w:cs="Times New Roman"/>
                  <w:kern w:val="0"/>
                  <w14:ligatures w14:val="none"/>
                </w:rPr>
                <m:t>5.0×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den>
          </m:f>
          <m:r>
            <w:rPr>
              <w:rFonts w:ascii="Cambria Math" w:eastAsia="Times New Roman" w:hAnsi="Cambria Math" w:cs="Times New Roman"/>
              <w:kern w:val="0"/>
              <w14:ligatures w14:val="none"/>
            </w:rPr>
            <m:t>≈1.16×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w:br/>
          </m:r>
        </m:oMath>
      </m:oMathPara>
    </w:p>
    <w:p w14:paraId="03F3648D"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w:t>
      </w:r>
    </w:p>
    <w:p w14:paraId="2B6525ED"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m:t>≈(1.16×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13</m:t>
              </m:r>
            </m:sup>
          </m:sSup>
          <m:r>
            <w:rPr>
              <w:rFonts w:ascii="Cambria Math" w:eastAsia="Times New Roman" w:hAnsi="Cambria Math" w:cs="Times New Roman"/>
              <w:kern w:val="0"/>
              <w14:ligatures w14:val="none"/>
            </w:rPr>
            <m:t>)(4.2×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)≈4.88×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Para>
    </w:p>
    <w:p w14:paraId="626CD17C"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This gives</w:t>
      </w:r>
    </w:p>
    <w:p w14:paraId="03AD5A77"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64,000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km/s</m:t>
          </m:r>
          <m:r>
            <w:rPr>
              <w:rFonts w:ascii="Cambria Math" w:eastAsia="Times New Roman" w:hAnsi="Cambria Math" w:cs="Times New Roman"/>
              <w:kern w:val="0"/>
              <w14:ligatures w14:val="none"/>
            </w:rPr>
            <w:br/>
          </m:r>
        </m:oMath>
      </m:oMathPara>
    </w:p>
    <w:p w14:paraId="2C744798"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and</w:t>
      </w:r>
    </w:p>
    <w:p w14:paraId="03EB6D30"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T≈14.2</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minutes.</m:t>
          </m:r>
          <m:r>
            <w:rPr>
              <w:rFonts w:ascii="Cambria Math" w:eastAsia="Times New Roman" w:hAnsi="Cambria Math" w:cs="Times New Roman"/>
              <w:kern w:val="0"/>
              <w14:ligatures w14:val="none"/>
            </w:rPr>
            <w:br/>
          </m:r>
        </m:oMath>
      </m:oMathPara>
    </w:p>
    <w:p w14:paraId="79C86B2E"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These scenarios are theory-calibrated outputs of the tug-boat compression model and remain tied to the subluminal local speed assumption. </w:t>
      </w:r>
    </w:p>
    <w:p w14:paraId="18C4AC04"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lastRenderedPageBreak/>
        <w:t>Independent Mass-Equivalent Contributions in Boost Mode</w:t>
      </w:r>
    </w:p>
    <w:p w14:paraId="4C07C2EF"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Using the sustained boost case,</w:t>
      </w:r>
    </w:p>
    <w:p w14:paraId="60CE2E7A"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corridor</m:t>
              </m:r>
            </m:sub>
          </m:sSub>
          <m:r>
            <w:rPr>
              <w:rFonts w:ascii="Cambria Math" w:eastAsia="Times New Roman" w:hAnsi="Cambria Math" w:cs="Times New Roman"/>
              <w:kern w:val="0"/>
              <w14:ligatures w14:val="none"/>
            </w:rPr>
            <m:t>≈1.94×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16</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D9EE7C"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engine-specific loads become</w:t>
      </w:r>
    </w:p>
    <w:p w14:paraId="239F0808"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nuclear</m:t>
              </m:r>
            </m:sub>
          </m:sSub>
          <m:r>
            <w:rPr>
              <w:rFonts w:ascii="Cambria Math" w:eastAsia="Times New Roman" w:hAnsi="Cambria Math" w:cs="Times New Roman"/>
              <w:kern w:val="0"/>
              <w14:ligatures w14:val="none"/>
            </w:rPr>
            <m:t>≈9.7×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electric</m:t>
              </m:r>
            </m:sub>
          </m:sSub>
          <m:r>
            <w:rPr>
              <w:rFonts w:ascii="Cambria Math" w:eastAsia="Times New Roman" w:hAnsi="Cambria Math" w:cs="Times New Roman"/>
              <w:kern w:val="0"/>
              <w14:ligatures w14:val="none"/>
            </w:rPr>
            <m:t>≈2.9×</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plasma</m:t>
              </m:r>
            </m:sub>
          </m:sSub>
          <m:r>
            <w:rPr>
              <w:rFonts w:ascii="Cambria Math" w:eastAsia="Times New Roman" w:hAnsi="Cambria Math" w:cs="Times New Roman"/>
              <w:kern w:val="0"/>
              <w14:ligatures w14:val="none"/>
            </w:rPr>
            <m:t>≈6.8×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w:br/>
          </m:r>
        </m:oMath>
      </m:oMathPara>
    </w:p>
    <w:p w14:paraId="2703CD7C"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Their mass-equivalent values are</w:t>
      </w:r>
    </w:p>
    <w:p w14:paraId="57EED8D3"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eq,nuclear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9.7×</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15</m:t>
                  </m:r>
                </m:sup>
              </m:sSup>
            </m:num>
            <m:den>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3.0</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8</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w:rPr>
              <w:rFonts w:ascii="Cambria Math" w:eastAsia="Times New Roman" w:hAnsi="Cambria Math" w:cs="Times New Roman"/>
              <w:kern w:val="0"/>
              <w14:ligatures w14:val="none"/>
            </w:rPr>
            <m:t>≈0.108</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eq,electric</m:t>
              </m:r>
            </m:sub>
          </m:sSub>
          <m:r>
            <w:rPr>
              <w:rFonts w:ascii="Cambria Math" w:eastAsia="Times New Roman" w:hAnsi="Cambria Math" w:cs="Times New Roman"/>
              <w:kern w:val="0"/>
              <w14:ligatures w14:val="none"/>
            </w:rPr>
            <m:t>≈0.032</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eq,plasma</m:t>
              </m:r>
            </m:sub>
          </m:sSub>
          <m:r>
            <w:rPr>
              <w:rFonts w:ascii="Cambria Math" w:eastAsia="Times New Roman" w:hAnsi="Cambria Math" w:cs="Times New Roman"/>
              <w:kern w:val="0"/>
              <w14:ligatures w14:val="none"/>
            </w:rPr>
            <m:t>≈0.076</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r>
            <w:rPr>
              <w:rFonts w:ascii="Cambria Math" w:eastAsia="Times New Roman" w:hAnsi="Cambria Math" w:cs="Times New Roman"/>
              <w:kern w:val="0"/>
              <w14:ligatures w14:val="none"/>
            </w:rPr>
            <w:br/>
          </m:r>
        </m:oMath>
      </m:oMathPara>
    </w:p>
    <w:p w14:paraId="0100FB23"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so</w:t>
      </w:r>
    </w:p>
    <w:p w14:paraId="1DAF1115"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eq,total</m:t>
              </m:r>
            </m:sub>
          </m:sSub>
          <m:r>
            <w:rPr>
              <w:rFonts w:ascii="Cambria Math" w:eastAsia="Times New Roman" w:hAnsi="Cambria Math" w:cs="Times New Roman"/>
              <w:kern w:val="0"/>
              <w14:ligatures w14:val="none"/>
            </w:rPr>
            <m:t>≈0.216</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kg.</m:t>
          </m:r>
          <m:r>
            <w:rPr>
              <w:rFonts w:ascii="Cambria Math" w:eastAsia="Times New Roman" w:hAnsi="Cambria Math" w:cs="Times New Roman"/>
              <w:kern w:val="0"/>
              <w14:ligatures w14:val="none"/>
            </w:rPr>
            <w:br/>
          </m:r>
        </m:oMath>
      </m:oMathPara>
    </w:p>
    <w:p w14:paraId="602F2247"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is a useful result because it shows how a small mass-equivalent loading corresponds to a very large corridor energy budget once multiplied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B54B00">
        <w:rPr>
          <w:rFonts w:ascii="Times New Roman" w:eastAsia="Times New Roman" w:hAnsi="Times New Roman" w:cs="Times New Roman"/>
          <w:kern w:val="0"/>
          <w14:ligatures w14:val="none"/>
        </w:rPr>
        <w:t xml:space="preserve">. </w:t>
      </w:r>
    </w:p>
    <w:p w14:paraId="0B42E65C"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Synchronization and Interstellar Calibration</w:t>
      </w:r>
    </w:p>
    <w:p w14:paraId="208C0A13"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synchronization layer remains</w:t>
      </w:r>
    </w:p>
    <w:p w14:paraId="376B4CA6"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ship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UTC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ship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atomic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ship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interstellar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685CAA"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Signal delay with interstellar calibration is represented by</w:t>
      </w:r>
    </w:p>
    <w:p w14:paraId="00B7AFDE"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plasma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magnetic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1E27D6A"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lastRenderedPageBreak/>
        <w:t xml:space="preserve">Earth, Voyager 1, and Voyager 2 form a three-point timing geometry that is used for signal-delay comparison, plasma-environment interpretation, and synchronization tracking. This remains part of the control layer and is not altered by the tug-boat propulsion reinterpretation. </w:t>
      </w:r>
    </w:p>
    <w:p w14:paraId="08F213F8"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Spacetime Metric and Control</w:t>
      </w:r>
    </w:p>
    <w:p w14:paraId="49F4C28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corridor metric remains</w:t>
      </w:r>
    </w:p>
    <w:p w14:paraId="4DD6DA44"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(1+β</m:t>
          </m:r>
          <m:r>
            <m:rPr>
              <m:sty m:val="p"/>
            </m:rP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)dt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46804D8D"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with</w:t>
      </w:r>
    </w:p>
    <w:p w14:paraId="432BF4D0"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m:t>
                              </m:r>
                            </m:sub>
                          </m:sSub>
                        </m:num>
                        <m:den>
                          <m:r>
                            <w:rPr>
                              <w:rFonts w:ascii="Cambria Math" w:eastAsia="Times New Roman" w:hAnsi="Cambria Math" w:cs="Times New Roman"/>
                              <w:kern w:val="0"/>
                              <w14:ligatures w14:val="none"/>
                            </w:rPr>
                            <m:t>R</m:t>
                          </m:r>
                        </m:den>
                      </m:f>
                    </m:e>
                  </m:d>
                </m:e>
                <m:sup>
                  <m:r>
                    <w:rPr>
                      <w:rFonts w:ascii="Cambria Math" w:eastAsia="Times New Roman" w:hAnsi="Cambria Math" w:cs="Times New Roman"/>
                      <w:kern w:val="0"/>
                      <w14:ligatures w14:val="none"/>
                    </w:rPr>
                    <m:t>m</m:t>
                  </m:r>
                </m:sup>
              </m:sSup>
            </m:e>
          </m:d>
          <m:r>
            <w:rPr>
              <w:rFonts w:ascii="Cambria Math" w:eastAsia="Times New Roman" w:hAnsi="Cambria Math" w:cs="Times New Roman"/>
              <w:kern w:val="0"/>
              <w14:ligatures w14:val="none"/>
            </w:rPr>
            <m:t>,m≥4.</m:t>
          </m:r>
          <m:r>
            <w:rPr>
              <w:rFonts w:ascii="Cambria Math" w:eastAsia="Times New Roman" w:hAnsi="Cambria Math" w:cs="Times New Roman"/>
              <w:i/>
              <w:kern w:val="0"/>
              <w14:ligatures w14:val="none"/>
            </w:rPr>
            <w:br/>
          </m:r>
        </m:oMath>
      </m:oMathPara>
    </w:p>
    <w:p w14:paraId="085B9A3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control loop remains a curvature-regulation structure rather than a raw-thrust law</w:t>
      </w:r>
    </w:p>
    <w:p w14:paraId="3D372058"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δρ+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∫δρ</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d</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d(δρ)</m:t>
              </m:r>
            </m:num>
            <m:den>
              <m:r>
                <w:rPr>
                  <w:rFonts w:ascii="Cambria Math" w:eastAsia="Times New Roman" w:hAnsi="Cambria Math" w:cs="Times New Roman"/>
                  <w:kern w:val="0"/>
                  <w14:ligatures w14:val="none"/>
                </w:rPr>
                <m:t>dt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E0A1F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Oscillatory field modulation remains</w:t>
      </w:r>
    </w:p>
    <w:p w14:paraId="72B16973"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⁡(ωt)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2744E2" w14:textId="624EF8E5"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These equations are retained, but they now operate on the </w:t>
      </w:r>
      <w:r w:rsidRPr="00B54B00">
        <w:rPr>
          <w:rFonts w:ascii="Times New Roman" w:eastAsia="Times New Roman" w:hAnsi="Times New Roman" w:cs="Times New Roman"/>
          <w:kern w:val="0"/>
          <w14:ligatures w14:val="none"/>
        </w:rPr>
        <w:t>correct</w:t>
      </w:r>
      <w:r w:rsidRPr="00B54B00">
        <w:rPr>
          <w:rFonts w:ascii="Times New Roman" w:eastAsia="Times New Roman" w:hAnsi="Times New Roman" w:cs="Times New Roman"/>
          <w:kern w:val="0"/>
          <w14:ligatures w14:val="none"/>
        </w:rPr>
        <w:t xml:space="preserve"> tug-boat corridor density defined above. </w:t>
      </w:r>
    </w:p>
    <w:p w14:paraId="4C8A5F5A"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Stability Conditions</w:t>
      </w:r>
    </w:p>
    <w:p w14:paraId="7378E3F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The physical constraints remain</w:t>
      </w:r>
    </w:p>
    <w:p w14:paraId="7FCDBC76"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u≥0</m:t>
          </m:r>
          <m:r>
            <w:rPr>
              <w:rFonts w:ascii="Cambria Math" w:eastAsia="Times New Roman" w:hAnsi="Cambria Math" w:cs="Times New Roman"/>
              <w:i/>
              <w:kern w:val="0"/>
              <w14:ligatures w14:val="none"/>
            </w:rPr>
            <w:br/>
          </m:r>
        </m:oMath>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crit</m:t>
              </m:r>
            </m:sub>
          </m:sSub>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0.003≤k≤1.</m:t>
          </m:r>
          <m:r>
            <w:rPr>
              <w:rFonts w:ascii="Cambria Math" w:eastAsia="Times New Roman" w:hAnsi="Cambria Math" w:cs="Times New Roman"/>
              <w:i/>
              <w:kern w:val="0"/>
              <w14:ligatures w14:val="none"/>
            </w:rPr>
            <w:br/>
          </m:r>
        </m:oMath>
      </m:oMathPara>
    </w:p>
    <w:p w14:paraId="12C3FD52"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These bounds preserve positive energy density, causal consistency, and the stated engineering compression limit. </w:t>
      </w:r>
    </w:p>
    <w:p w14:paraId="3D45B5C0" w14:textId="77777777" w:rsid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D9EF69" w14:textId="5DCFEECC"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Discussion</w:t>
      </w:r>
    </w:p>
    <w:p w14:paraId="5AC24099"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The main correction introduced here is that the three-engine architecture is no longer described vaguely as a general hybrid power stack. It is now expressed as a tug-boat hierarchy with independent energetic roles and a shared density outcome. The nuclear stage loads the corridor energetically, the electric stage preserves controlled local ship motion, and the plasma stage sharpens compression through burst input. The equation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B54B00">
        <w:rPr>
          <w:rFonts w:ascii="Times New Roman" w:eastAsia="Times New Roman" w:hAnsi="Times New Roman" w:cs="Times New Roman"/>
          <w:kern w:val="0"/>
          <w14:ligatures w14:val="none"/>
        </w:rPr>
        <w:t xml:space="preserve">is used consistently across all three engines, but only as an accounting bridge into the corridor energy-density term. This avoids overstating the physical interpretation while preserving the mathematical structure needed for the compression law. </w:t>
      </w:r>
    </w:p>
    <w:p w14:paraId="693502EC"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Conclusion</w:t>
      </w:r>
    </w:p>
    <w:p w14:paraId="31BE13AB" w14:textId="77777777"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This revised document upgrades the propulsion equations by replacing the earlier broad hybrid-language treatment with a consistent tug-boat formulation. The corrected chain is</w:t>
      </w:r>
    </w:p>
    <w:p w14:paraId="64054B3B" w14:textId="77777777" w:rsidR="00B54B00" w:rsidRPr="00B54B00" w:rsidRDefault="00B54B00" w:rsidP="00B54B0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eq,total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control</m:t>
                  </m:r>
                </m:sub>
              </m:sSub>
            </m:num>
            <m:den>
              <m:r>
                <w:rPr>
                  <w:rFonts w:ascii="Cambria Math" w:eastAsia="Times New Roman" w:hAnsi="Cambria Math" w:cs="Times New Roman"/>
                  <w:kern w:val="0"/>
                  <w14:ligatures w14:val="none"/>
                </w:rPr>
                <m:t>V</m:t>
              </m:r>
            </m:den>
          </m:f>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E</m:t>
                  </m:r>
                </m:sub>
              </m:sSub>
            </m:sup>
          </m:sSup>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Dk</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ship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23F48B" w14:textId="5A38DDFB"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This is the </w:t>
      </w:r>
      <w:r w:rsidRPr="00B54B00">
        <w:rPr>
          <w:rFonts w:ascii="Times New Roman" w:eastAsia="Times New Roman" w:hAnsi="Times New Roman" w:cs="Times New Roman"/>
          <w:kern w:val="0"/>
          <w14:ligatures w14:val="none"/>
        </w:rPr>
        <w:t>centrally</w:t>
      </w:r>
      <w:r w:rsidRPr="00B54B00">
        <w:rPr>
          <w:rFonts w:ascii="Times New Roman" w:eastAsia="Times New Roman" w:hAnsi="Times New Roman" w:cs="Times New Roman"/>
          <w:kern w:val="0"/>
          <w14:ligatures w14:val="none"/>
        </w:rPr>
        <w:t xml:space="preserve"> upgraded structure that should anchor the document going forward. It preserves your subluminal assumption, keeps the synchronization layer intact, and gives the three propulsion systems a physically differentiated but mathematically unified role. </w:t>
      </w:r>
    </w:p>
    <w:p w14:paraId="106957BC" w14:textId="77777777" w:rsidR="00B54B00" w:rsidRPr="00B54B00" w:rsidRDefault="00B54B00" w:rsidP="00B54B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B00">
        <w:rPr>
          <w:rFonts w:ascii="Times New Roman" w:eastAsia="Times New Roman" w:hAnsi="Times New Roman" w:cs="Times New Roman"/>
          <w:b/>
          <w:bCs/>
          <w:kern w:val="0"/>
          <w:sz w:val="36"/>
          <w:szCs w:val="36"/>
          <w14:ligatures w14:val="none"/>
        </w:rPr>
        <w:t>References</w:t>
      </w:r>
    </w:p>
    <w:p w14:paraId="3457759B" w14:textId="6F732E1A" w:rsid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sidRPr="00B54B00">
        <w:rPr>
          <w:rFonts w:ascii="Times New Roman" w:eastAsia="Times New Roman" w:hAnsi="Times New Roman" w:cs="Times New Roman"/>
          <w:kern w:val="0"/>
          <w14:ligatures w14:val="none"/>
        </w:rPr>
        <w:t xml:space="preserve">NASA Voyager mission data and deep-space telemetry. </w:t>
      </w:r>
      <w:r w:rsidRPr="00B54B00">
        <w:rPr>
          <w:rFonts w:ascii="Times New Roman" w:eastAsia="Times New Roman" w:hAnsi="Times New Roman" w:cs="Times New Roman"/>
          <w:kern w:val="0"/>
          <w14:ligatures w14:val="none"/>
        </w:rPr>
        <w:br/>
        <w:t xml:space="preserve">General relativity curvature framework. </w:t>
      </w:r>
      <w:r w:rsidRPr="00B54B00">
        <w:rPr>
          <w:rFonts w:ascii="Times New Roman" w:eastAsia="Times New Roman" w:hAnsi="Times New Roman" w:cs="Times New Roman"/>
          <w:kern w:val="0"/>
          <w14:ligatures w14:val="none"/>
        </w:rPr>
        <w:br/>
        <w:t xml:space="preserve">Mass-energy equivalence and corridor accounting </w:t>
      </w:r>
      <w:r w:rsidRPr="00B54B00">
        <w:rPr>
          <w:rFonts w:ascii="Times New Roman" w:eastAsia="Times New Roman" w:hAnsi="Times New Roman" w:cs="Times New Roman"/>
          <w:kern w:val="0"/>
          <w14:ligatures w14:val="none"/>
        </w:rPr>
        <w:t>relations</w:t>
      </w:r>
      <w:r w:rsidRPr="00B54B00">
        <w:rPr>
          <w:rFonts w:ascii="Times New Roman" w:eastAsia="Times New Roman" w:hAnsi="Times New Roman" w:cs="Times New Roman"/>
          <w:kern w:val="0"/>
          <w14:ligatures w14:val="none"/>
        </w:rPr>
        <w:t xml:space="preserve">. </w:t>
      </w:r>
      <w:r w:rsidRPr="00B54B00">
        <w:rPr>
          <w:rFonts w:ascii="Times New Roman" w:eastAsia="Times New Roman" w:hAnsi="Times New Roman" w:cs="Times New Roman"/>
          <w:kern w:val="0"/>
          <w14:ligatures w14:val="none"/>
        </w:rPr>
        <w:br/>
        <w:t xml:space="preserve">Atomic clock synchronization systems and CST timing structure. </w:t>
      </w:r>
      <w:r w:rsidRPr="00B54B00">
        <w:rPr>
          <w:rFonts w:ascii="Times New Roman" w:eastAsia="Times New Roman" w:hAnsi="Times New Roman" w:cs="Times New Roman"/>
          <w:kern w:val="0"/>
          <w14:ligatures w14:val="none"/>
        </w:rPr>
        <w:br/>
        <w:t xml:space="preserve">Plasma physics and hybrid propulsion energy loading. </w:t>
      </w:r>
    </w:p>
    <w:p w14:paraId="4D13D36A" w14:textId="4F39E2F1" w:rsidR="00B54B00" w:rsidRPr="00B54B00" w:rsidRDefault="00B54B00" w:rsidP="00B54B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AC40506" wp14:editId="24815759">
            <wp:extent cx="5943600" cy="4756785"/>
            <wp:effectExtent l="0" t="0" r="0" b="5715"/>
            <wp:docPr id="53282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7774" name="Picture 532827774"/>
                    <pic:cNvPicPr/>
                  </pic:nvPicPr>
                  <pic:blipFill>
                    <a:blip r:embed="rId4">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0FE8DD36" w14:textId="77777777" w:rsidR="003B2438" w:rsidRDefault="003B2438"/>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A9"/>
    <w:rsid w:val="000003A9"/>
    <w:rsid w:val="003B2438"/>
    <w:rsid w:val="004053D6"/>
    <w:rsid w:val="006023A9"/>
    <w:rsid w:val="00A52C2F"/>
    <w:rsid w:val="00B54B00"/>
    <w:rsid w:val="00E4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39C4"/>
  <w15:chartTrackingRefBased/>
  <w15:docId w15:val="{DEE353EE-D860-432B-82E5-7F3464B2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A9"/>
    <w:rPr>
      <w:rFonts w:eastAsiaTheme="majorEastAsia" w:cstheme="majorBidi"/>
      <w:color w:val="272727" w:themeColor="text1" w:themeTint="D8"/>
    </w:rPr>
  </w:style>
  <w:style w:type="paragraph" w:styleId="Title">
    <w:name w:val="Title"/>
    <w:basedOn w:val="Normal"/>
    <w:next w:val="Normal"/>
    <w:link w:val="TitleChar"/>
    <w:uiPriority w:val="10"/>
    <w:qFormat/>
    <w:rsid w:val="0060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A9"/>
    <w:pPr>
      <w:spacing w:before="160"/>
      <w:jc w:val="center"/>
    </w:pPr>
    <w:rPr>
      <w:i/>
      <w:iCs/>
      <w:color w:val="404040" w:themeColor="text1" w:themeTint="BF"/>
    </w:rPr>
  </w:style>
  <w:style w:type="character" w:customStyle="1" w:styleId="QuoteChar">
    <w:name w:val="Quote Char"/>
    <w:basedOn w:val="DefaultParagraphFont"/>
    <w:link w:val="Quote"/>
    <w:uiPriority w:val="29"/>
    <w:rsid w:val="006023A9"/>
    <w:rPr>
      <w:i/>
      <w:iCs/>
      <w:color w:val="404040" w:themeColor="text1" w:themeTint="BF"/>
    </w:rPr>
  </w:style>
  <w:style w:type="paragraph" w:styleId="ListParagraph">
    <w:name w:val="List Paragraph"/>
    <w:basedOn w:val="Normal"/>
    <w:uiPriority w:val="34"/>
    <w:qFormat/>
    <w:rsid w:val="006023A9"/>
    <w:pPr>
      <w:ind w:left="720"/>
      <w:contextualSpacing/>
    </w:pPr>
  </w:style>
  <w:style w:type="character" w:styleId="IntenseEmphasis">
    <w:name w:val="Intense Emphasis"/>
    <w:basedOn w:val="DefaultParagraphFont"/>
    <w:uiPriority w:val="21"/>
    <w:qFormat/>
    <w:rsid w:val="006023A9"/>
    <w:rPr>
      <w:i/>
      <w:iCs/>
      <w:color w:val="0F4761" w:themeColor="accent1" w:themeShade="BF"/>
    </w:rPr>
  </w:style>
  <w:style w:type="paragraph" w:styleId="IntenseQuote">
    <w:name w:val="Intense Quote"/>
    <w:basedOn w:val="Normal"/>
    <w:next w:val="Normal"/>
    <w:link w:val="IntenseQuoteChar"/>
    <w:uiPriority w:val="30"/>
    <w:qFormat/>
    <w:rsid w:val="0060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A9"/>
    <w:rPr>
      <w:i/>
      <w:iCs/>
      <w:color w:val="0F4761" w:themeColor="accent1" w:themeShade="BF"/>
    </w:rPr>
  </w:style>
  <w:style w:type="character" w:styleId="IntenseReference">
    <w:name w:val="Intense Reference"/>
    <w:basedOn w:val="DefaultParagraphFont"/>
    <w:uiPriority w:val="32"/>
    <w:qFormat/>
    <w:rsid w:val="00602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1728</Words>
  <Characters>9854</Characters>
  <Application>Microsoft Office Word</Application>
  <DocSecurity>0</DocSecurity>
  <Lines>82</Lines>
  <Paragraphs>23</Paragraphs>
  <ScaleCrop>false</ScaleCrop>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4</cp:revision>
  <dcterms:created xsi:type="dcterms:W3CDTF">2026-04-18T16:38:00Z</dcterms:created>
  <dcterms:modified xsi:type="dcterms:W3CDTF">2026-04-18T16:48:00Z</dcterms:modified>
</cp:coreProperties>
</file>