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B463E" w14:textId="77777777" w:rsidR="00C00C4D" w:rsidRPr="00C00C4D" w:rsidRDefault="00C00C4D" w:rsidP="00C00C4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0C4D">
        <w:rPr>
          <w:rFonts w:ascii="Times New Roman" w:eastAsia="Times New Roman" w:hAnsi="Times New Roman" w:cs="Times New Roman"/>
          <w:b/>
          <w:bCs/>
          <w:kern w:val="36"/>
          <w:sz w:val="48"/>
          <w:szCs w:val="48"/>
        </w:rPr>
        <w:t>Photon–Wave Duality, Topological Field Geometry, and Time-Synchronized Harmonic Control in Warp Field Navigation</w:t>
      </w:r>
    </w:p>
    <w:p w14:paraId="5172B3DB" w14:textId="77777777" w:rsidR="00C00C4D" w:rsidRPr="00C00C4D" w:rsidRDefault="00C00C4D" w:rsidP="00C00C4D">
      <w:pPr>
        <w:spacing w:before="100" w:beforeAutospacing="1" w:after="100" w:afterAutospacing="1" w:line="240" w:lineRule="auto"/>
        <w:outlineLvl w:val="1"/>
        <w:rPr>
          <w:rFonts w:ascii="Times New Roman" w:eastAsia="Times New Roman" w:hAnsi="Times New Roman" w:cs="Times New Roman"/>
          <w:b/>
          <w:bCs/>
          <w:sz w:val="36"/>
          <w:szCs w:val="36"/>
        </w:rPr>
      </w:pPr>
      <w:r w:rsidRPr="00C00C4D">
        <w:rPr>
          <w:rFonts w:ascii="Times New Roman" w:eastAsia="Times New Roman" w:hAnsi="Times New Roman" w:cs="Times New Roman"/>
          <w:b/>
          <w:bCs/>
          <w:sz w:val="36"/>
          <w:szCs w:val="36"/>
        </w:rPr>
        <w:t>Abstract</w:t>
      </w:r>
    </w:p>
    <w:p w14:paraId="386AB1CD"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This paper presents a theoretical framework integrating quantum wave–particle duality, electromagnetic field control, non-orientable topology, and synchronized temporal reference systems to explore a structured approach to warp-field navigation. The model introduces a unified stress–energy extension incorporating harmonic field modulation, Gaussian energy distributions, and curvature synchronization through multi-frame time coordination, including atomic time, Coordinated Universal Time, and cosmic reference time. The framework is explicitly positioned as a testable theoretical construct, with defined constraints, measurable predictions, and dimensional consistency, bridging mathematical formalism with physically interpretable variables.</w:t>
      </w:r>
    </w:p>
    <w:p w14:paraId="0D369DD7" w14:textId="77777777" w:rsidR="00C00C4D" w:rsidRPr="00C00C4D" w:rsidRDefault="00C00C4D" w:rsidP="00C00C4D">
      <w:pPr>
        <w:spacing w:before="100" w:beforeAutospacing="1" w:after="100" w:afterAutospacing="1" w:line="240" w:lineRule="auto"/>
        <w:outlineLvl w:val="1"/>
        <w:rPr>
          <w:rFonts w:ascii="Times New Roman" w:eastAsia="Times New Roman" w:hAnsi="Times New Roman" w:cs="Times New Roman"/>
          <w:b/>
          <w:bCs/>
          <w:sz w:val="36"/>
          <w:szCs w:val="36"/>
        </w:rPr>
      </w:pPr>
      <w:r w:rsidRPr="00C00C4D">
        <w:rPr>
          <w:rFonts w:ascii="Times New Roman" w:eastAsia="Times New Roman" w:hAnsi="Times New Roman" w:cs="Times New Roman"/>
          <w:b/>
          <w:bCs/>
          <w:sz w:val="36"/>
          <w:szCs w:val="36"/>
        </w:rPr>
        <w:t>Introduction</w:t>
      </w:r>
    </w:p>
    <w:p w14:paraId="0351E60D"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Modern physics provides multiple validated frameworks for describing reality, including general relativity for spacetime curvature, quantum mechanics for microscopic behavior, and electromagnetism for field interactions. However, no unified operational model currently exists that integrates these domains into a coherent navigation or propulsion framework.</w:t>
      </w:r>
    </w:p>
    <w:p w14:paraId="77F322E3"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This work proposes a synthesis in which spacetime curvature, electromagnetic confinement, harmonic wave structures, and synchronized time systems are treated as interdependent control variables. The goal is not to claim a complete warp solution, but to establish a structured, falsifiable model that can be explored through simulation and experimental analogs.</w:t>
      </w:r>
    </w:p>
    <w:p w14:paraId="00D5BA2E" w14:textId="77777777" w:rsidR="00C00C4D" w:rsidRPr="00C00C4D" w:rsidRDefault="00C00C4D" w:rsidP="00C00C4D">
      <w:pPr>
        <w:spacing w:before="100" w:beforeAutospacing="1" w:after="100" w:afterAutospacing="1" w:line="240" w:lineRule="auto"/>
        <w:outlineLvl w:val="1"/>
        <w:rPr>
          <w:rFonts w:ascii="Times New Roman" w:eastAsia="Times New Roman" w:hAnsi="Times New Roman" w:cs="Times New Roman"/>
          <w:b/>
          <w:bCs/>
          <w:sz w:val="36"/>
          <w:szCs w:val="36"/>
        </w:rPr>
      </w:pPr>
      <w:r w:rsidRPr="00C00C4D">
        <w:rPr>
          <w:rFonts w:ascii="Times New Roman" w:eastAsia="Times New Roman" w:hAnsi="Times New Roman" w:cs="Times New Roman"/>
          <w:b/>
          <w:bCs/>
          <w:sz w:val="36"/>
          <w:szCs w:val="36"/>
        </w:rPr>
        <w:t>Unified Field and Time-Synchronized Governing Equation</w:t>
      </w:r>
    </w:p>
    <w:p w14:paraId="2254320E"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The foundation of the model begins with the Einstein Field Equations:</w:t>
      </w:r>
    </w:p>
    <w:p w14:paraId="13111789"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Λ</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oMath>
      </m:oMathPara>
    </w:p>
    <w:p w14:paraId="11C09696"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lastRenderedPageBreak/>
        <w:t>To integrate electromagnetic fields, wave harmonics, topology, and time synchronization, the stress–energy tensor is extended:</w:t>
      </w:r>
    </w:p>
    <w:p w14:paraId="245DAFFB" w14:textId="77777777" w:rsidR="00C00C4D" w:rsidRPr="00C00C4D" w:rsidRDefault="00C00C4D" w:rsidP="00C00C4D">
      <w:pPr>
        <w:spacing w:after="0" w:line="240" w:lineRule="auto"/>
        <w:rPr>
          <w:rFonts w:ascii="Times New Roman" w:eastAsia="Times New Roman" w:hAnsi="Times New Roman" w:cs="Times New Roman"/>
          <w:sz w:val="24"/>
          <w:szCs w:val="24"/>
        </w:rPr>
      </w:pPr>
      <m:oMathPara>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w:rPr>
                  <w:rFonts w:ascii="Cambria Math" w:eastAsia="Times New Roman" w:hAnsi="Cambria Math" w:cs="Times New Roman"/>
                  <w:sz w:val="24"/>
                  <w:szCs w:val="24"/>
                </w:rPr>
                <m:t>total</m:t>
              </m:r>
            </m:sup>
          </m:sSubSup>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w:rPr>
                  <w:rFonts w:ascii="Cambria Math" w:eastAsia="Times New Roman" w:hAnsi="Cambria Math" w:cs="Times New Roman"/>
                  <w:sz w:val="24"/>
                  <w:szCs w:val="24"/>
                </w:rPr>
                <m:t>matter</m:t>
              </m:r>
            </m:sup>
          </m:sSubSup>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w:rPr>
                  <w:rFonts w:ascii="Cambria Math" w:eastAsia="Times New Roman" w:hAnsi="Cambria Math" w:cs="Times New Roman"/>
                  <w:sz w:val="24"/>
                  <w:szCs w:val="24"/>
                </w:rPr>
                <m:t>EM</m:t>
              </m:r>
            </m:sup>
          </m:sSubSup>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w:rPr>
                  <w:rFonts w:ascii="Cambria Math" w:eastAsia="Times New Roman" w:hAnsi="Cambria Math" w:cs="Times New Roman"/>
                  <w:sz w:val="24"/>
                  <w:szCs w:val="24"/>
                </w:rPr>
                <m:t>wave</m:t>
              </m:r>
            </m:sup>
          </m:sSubSup>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w:rPr>
                  <w:rFonts w:ascii="Cambria Math" w:eastAsia="Times New Roman" w:hAnsi="Cambria Math" w:cs="Times New Roman"/>
                  <w:sz w:val="24"/>
                  <w:szCs w:val="24"/>
                </w:rPr>
                <m:t>topology</m:t>
              </m:r>
            </m:sup>
          </m:sSubSup>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w:rPr>
                  <w:rFonts w:ascii="Cambria Math" w:eastAsia="Times New Roman" w:hAnsi="Cambria Math" w:cs="Times New Roman"/>
                  <w:sz w:val="24"/>
                  <w:szCs w:val="24"/>
                </w:rPr>
                <m:t>CST</m:t>
              </m:r>
            </m:sup>
          </m:sSubSup>
          <m:r>
            <w:rPr>
              <w:rFonts w:ascii="Cambria Math" w:eastAsia="Times New Roman" w:hAnsi="Cambria Math" w:cs="Times New Roman"/>
              <w:sz w:val="24"/>
              <w:szCs w:val="24"/>
            </w:rPr>
            <w:br/>
          </m:r>
        </m:oMath>
      </m:oMathPara>
    </w:p>
    <w:p w14:paraId="3934E3D9"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Where:</w:t>
      </w:r>
    </w:p>
    <w:p w14:paraId="3D15CBBE" w14:textId="77777777" w:rsidR="00C00C4D" w:rsidRPr="00C00C4D" w:rsidRDefault="00C00C4D" w:rsidP="00C00C4D">
      <w:pPr>
        <w:numPr>
          <w:ilvl w:val="0"/>
          <w:numId w:val="10"/>
        </w:numPr>
        <w:spacing w:before="100" w:beforeAutospacing="1" w:after="100" w:afterAutospacing="1" w:line="240" w:lineRule="auto"/>
        <w:rPr>
          <w:rFonts w:ascii="Times New Roman" w:eastAsia="Times New Roman" w:hAnsi="Times New Roman" w:cs="Times New Roman"/>
          <w:sz w:val="24"/>
          <w:szCs w:val="24"/>
        </w:rPr>
      </w:pPr>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w:rPr>
                <w:rFonts w:ascii="Cambria Math" w:eastAsia="Times New Roman" w:hAnsi="Cambria Math" w:cs="Times New Roman"/>
                <w:sz w:val="24"/>
                <w:szCs w:val="24"/>
              </w:rPr>
              <m:t>EM</m:t>
            </m:r>
          </m:sup>
        </m:sSubSup>
      </m:oMath>
      <w:r w:rsidRPr="00C00C4D">
        <w:rPr>
          <w:rFonts w:ascii="Times New Roman" w:eastAsia="Times New Roman" w:hAnsi="Times New Roman" w:cs="Times New Roman"/>
          <w:sz w:val="24"/>
          <w:szCs w:val="24"/>
        </w:rPr>
        <w:t xml:space="preserve">: electromagnetic field contribution </w:t>
      </w:r>
    </w:p>
    <w:p w14:paraId="08361A55" w14:textId="77777777" w:rsidR="00C00C4D" w:rsidRPr="00C00C4D" w:rsidRDefault="00C00C4D" w:rsidP="00C00C4D">
      <w:pPr>
        <w:numPr>
          <w:ilvl w:val="0"/>
          <w:numId w:val="10"/>
        </w:numPr>
        <w:spacing w:before="100" w:beforeAutospacing="1" w:after="100" w:afterAutospacing="1" w:line="240" w:lineRule="auto"/>
        <w:rPr>
          <w:rFonts w:ascii="Times New Roman" w:eastAsia="Times New Roman" w:hAnsi="Times New Roman" w:cs="Times New Roman"/>
          <w:sz w:val="24"/>
          <w:szCs w:val="24"/>
        </w:rPr>
      </w:pPr>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w:rPr>
                <w:rFonts w:ascii="Cambria Math" w:eastAsia="Times New Roman" w:hAnsi="Cambria Math" w:cs="Times New Roman"/>
                <w:sz w:val="24"/>
                <w:szCs w:val="24"/>
              </w:rPr>
              <m:t>wave</m:t>
            </m:r>
          </m:sup>
        </m:sSubSup>
      </m:oMath>
      <w:r w:rsidRPr="00C00C4D">
        <w:rPr>
          <w:rFonts w:ascii="Times New Roman" w:eastAsia="Times New Roman" w:hAnsi="Times New Roman" w:cs="Times New Roman"/>
          <w:sz w:val="24"/>
          <w:szCs w:val="24"/>
        </w:rPr>
        <w:t xml:space="preserve">: harmonic and Gaussian field distributions </w:t>
      </w:r>
    </w:p>
    <w:p w14:paraId="1E9CEE58" w14:textId="77777777" w:rsidR="00C00C4D" w:rsidRPr="00C00C4D" w:rsidRDefault="00C00C4D" w:rsidP="00C00C4D">
      <w:pPr>
        <w:numPr>
          <w:ilvl w:val="0"/>
          <w:numId w:val="10"/>
        </w:numPr>
        <w:spacing w:before="100" w:beforeAutospacing="1" w:after="100" w:afterAutospacing="1" w:line="240" w:lineRule="auto"/>
        <w:rPr>
          <w:rFonts w:ascii="Times New Roman" w:eastAsia="Times New Roman" w:hAnsi="Times New Roman" w:cs="Times New Roman"/>
          <w:sz w:val="24"/>
          <w:szCs w:val="24"/>
        </w:rPr>
      </w:pPr>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w:rPr>
                <w:rFonts w:ascii="Cambria Math" w:eastAsia="Times New Roman" w:hAnsi="Cambria Math" w:cs="Times New Roman"/>
                <w:sz w:val="24"/>
                <w:szCs w:val="24"/>
              </w:rPr>
              <m:t>topology</m:t>
            </m:r>
          </m:sup>
        </m:sSubSup>
      </m:oMath>
      <w:r w:rsidRPr="00C00C4D">
        <w:rPr>
          <w:rFonts w:ascii="Times New Roman" w:eastAsia="Times New Roman" w:hAnsi="Times New Roman" w:cs="Times New Roman"/>
          <w:sz w:val="24"/>
          <w:szCs w:val="24"/>
        </w:rPr>
        <w:t xml:space="preserve">: constraints from non-orientable geometry </w:t>
      </w:r>
    </w:p>
    <w:p w14:paraId="05707A0B" w14:textId="77777777" w:rsidR="00C00C4D" w:rsidRPr="00C00C4D" w:rsidRDefault="00C00C4D" w:rsidP="00C00C4D">
      <w:pPr>
        <w:numPr>
          <w:ilvl w:val="0"/>
          <w:numId w:val="10"/>
        </w:numPr>
        <w:spacing w:before="100" w:beforeAutospacing="1" w:after="100" w:afterAutospacing="1" w:line="240" w:lineRule="auto"/>
        <w:rPr>
          <w:rFonts w:ascii="Times New Roman" w:eastAsia="Times New Roman" w:hAnsi="Times New Roman" w:cs="Times New Roman"/>
          <w:sz w:val="24"/>
          <w:szCs w:val="24"/>
        </w:rPr>
      </w:pPr>
      <m:oMath>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up>
            <m:r>
              <w:rPr>
                <w:rFonts w:ascii="Cambria Math" w:eastAsia="Times New Roman" w:hAnsi="Cambria Math" w:cs="Times New Roman"/>
                <w:sz w:val="24"/>
                <w:szCs w:val="24"/>
              </w:rPr>
              <m:t>CST</m:t>
            </m:r>
          </m:sup>
        </m:sSubSup>
      </m:oMath>
      <w:r w:rsidRPr="00C00C4D">
        <w:rPr>
          <w:rFonts w:ascii="Times New Roman" w:eastAsia="Times New Roman" w:hAnsi="Times New Roman" w:cs="Times New Roman"/>
          <w:sz w:val="24"/>
          <w:szCs w:val="24"/>
        </w:rPr>
        <w:t xml:space="preserve">: time-synchronization control term </w:t>
      </w:r>
    </w:p>
    <w:p w14:paraId="4706A3D4"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The CST term is defined through temporal phase mismatch:</w:t>
      </w:r>
    </w:p>
    <w:p w14:paraId="64C7DFD1" w14:textId="77777777" w:rsidR="00C00C4D" w:rsidRPr="00C00C4D" w:rsidRDefault="00C00C4D" w:rsidP="00C00C4D">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local</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reference</m:t>
              </m:r>
            </m:sub>
          </m:sSub>
          <m:r>
            <w:rPr>
              <w:rFonts w:ascii="Cambria Math" w:eastAsia="Times New Roman" w:hAnsi="Cambria Math" w:cs="Times New Roman"/>
              <w:sz w:val="24"/>
              <w:szCs w:val="24"/>
            </w:rPr>
            <w:br/>
          </m:r>
        </m:oMath>
      </m:oMathPara>
    </w:p>
    <w:p w14:paraId="62E25307"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This introduces time not as a passive coordinate, but as a controllable parameter influencing field stability and coherence.</w:t>
      </w:r>
    </w:p>
    <w:p w14:paraId="2B4E2BD9" w14:textId="77777777" w:rsidR="00C00C4D" w:rsidRPr="00C00C4D" w:rsidRDefault="00C00C4D" w:rsidP="00C00C4D">
      <w:pPr>
        <w:spacing w:before="100" w:beforeAutospacing="1" w:after="100" w:afterAutospacing="1" w:line="240" w:lineRule="auto"/>
        <w:outlineLvl w:val="1"/>
        <w:rPr>
          <w:rFonts w:ascii="Times New Roman" w:eastAsia="Times New Roman" w:hAnsi="Times New Roman" w:cs="Times New Roman"/>
          <w:b/>
          <w:bCs/>
          <w:sz w:val="36"/>
          <w:szCs w:val="36"/>
        </w:rPr>
      </w:pPr>
      <w:r w:rsidRPr="00C00C4D">
        <w:rPr>
          <w:rFonts w:ascii="Times New Roman" w:eastAsia="Times New Roman" w:hAnsi="Times New Roman" w:cs="Times New Roman"/>
          <w:b/>
          <w:bCs/>
          <w:sz w:val="36"/>
          <w:szCs w:val="36"/>
        </w:rPr>
        <w:t>Time Synchronization Framework</w:t>
      </w:r>
    </w:p>
    <w:p w14:paraId="70F4E791"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The model incorporates four operational time systems:</w:t>
      </w:r>
    </w:p>
    <w:p w14:paraId="7E64874E" w14:textId="77777777" w:rsidR="00C00C4D" w:rsidRPr="00C00C4D" w:rsidRDefault="00C00C4D" w:rsidP="00C00C4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Atomic Time (high-precision local oscillators) </w:t>
      </w:r>
    </w:p>
    <w:p w14:paraId="71A7AF3F" w14:textId="77777777" w:rsidR="00C00C4D" w:rsidRPr="00C00C4D" w:rsidRDefault="00C00C4D" w:rsidP="00C00C4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Coordinated Universal Time (Earth-based synchronization reference) </w:t>
      </w:r>
    </w:p>
    <w:p w14:paraId="48FB0417" w14:textId="77777777" w:rsidR="00C00C4D" w:rsidRPr="00C00C4D" w:rsidRDefault="00C00C4D" w:rsidP="00C00C4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Cosmic Time (astrophysical frame, e.g., pulsars or deep-space clocks) </w:t>
      </w:r>
    </w:p>
    <w:p w14:paraId="60D8B81A" w14:textId="77777777" w:rsidR="00C00C4D" w:rsidRPr="00C00C4D" w:rsidRDefault="00C00C4D" w:rsidP="00C00C4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CST Time (relative synchronization state between systems) </w:t>
      </w:r>
    </w:p>
    <w:p w14:paraId="751B9DCD"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These are unified through a weighted synchronization function:</w:t>
      </w:r>
    </w:p>
    <w:p w14:paraId="3F81B1F1" w14:textId="77777777" w:rsidR="00C00C4D" w:rsidRPr="00C00C4D" w:rsidRDefault="00C00C4D" w:rsidP="00C00C4D">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sync</m:t>
              </m:r>
            </m:sub>
          </m:sSub>
          <m:r>
            <w:rPr>
              <w:rFonts w:ascii="Cambria Math" w:eastAsia="Times New Roman" w:hAnsi="Cambria Math" w:cs="Times New Roman"/>
              <w:sz w:val="24"/>
              <w:szCs w:val="24"/>
            </w:rPr>
            <m:t>=</m:t>
          </m:r>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e>
          </m:nary>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6D9436C0"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Minimization of this function stabilizes the system by reducing phase drift between reference frames. This allows coordinated navigation where timing discrepancies directly affect field coherence.</w:t>
      </w:r>
    </w:p>
    <w:p w14:paraId="29278D32" w14:textId="77777777" w:rsidR="00C00C4D" w:rsidRDefault="00C00C4D" w:rsidP="00C00C4D">
      <w:pPr>
        <w:spacing w:before="100" w:beforeAutospacing="1" w:after="100" w:afterAutospacing="1" w:line="240" w:lineRule="auto"/>
        <w:outlineLvl w:val="1"/>
        <w:rPr>
          <w:rFonts w:ascii="Times New Roman" w:eastAsia="Times New Roman" w:hAnsi="Times New Roman" w:cs="Times New Roman"/>
          <w:b/>
          <w:bCs/>
          <w:sz w:val="36"/>
          <w:szCs w:val="36"/>
        </w:rPr>
      </w:pPr>
    </w:p>
    <w:p w14:paraId="6A48CB49" w14:textId="5A7DDA2B" w:rsidR="00C00C4D" w:rsidRPr="00C00C4D" w:rsidRDefault="00C00C4D" w:rsidP="00C00C4D">
      <w:pPr>
        <w:spacing w:before="100" w:beforeAutospacing="1" w:after="100" w:afterAutospacing="1" w:line="240" w:lineRule="auto"/>
        <w:outlineLvl w:val="1"/>
        <w:rPr>
          <w:rFonts w:ascii="Times New Roman" w:eastAsia="Times New Roman" w:hAnsi="Times New Roman" w:cs="Times New Roman"/>
          <w:b/>
          <w:bCs/>
          <w:sz w:val="36"/>
          <w:szCs w:val="36"/>
        </w:rPr>
      </w:pPr>
      <w:r w:rsidRPr="00C00C4D">
        <w:rPr>
          <w:rFonts w:ascii="Times New Roman" w:eastAsia="Times New Roman" w:hAnsi="Times New Roman" w:cs="Times New Roman"/>
          <w:b/>
          <w:bCs/>
          <w:sz w:val="36"/>
          <w:szCs w:val="36"/>
        </w:rPr>
        <w:lastRenderedPageBreak/>
        <w:t>Electromagnetic Field Control and Helmholtz Configuration</w:t>
      </w:r>
    </w:p>
    <w:p w14:paraId="05ABACA7"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Charged particle motion within controlled magnetic fields follows the Lorentz force:</w:t>
      </w:r>
    </w:p>
    <w:p w14:paraId="260B432F" w14:textId="77777777" w:rsidR="00C00C4D" w:rsidRPr="00C00C4D" w:rsidRDefault="00C00C4D" w:rsidP="00C00C4D">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F=q(</m:t>
          </m:r>
          <m:r>
            <m:rPr>
              <m:sty m:val="b"/>
            </m:rPr>
            <w:rPr>
              <w:rFonts w:ascii="Cambria Math" w:eastAsia="Times New Roman" w:hAnsi="Cambria Math" w:cs="Times New Roman"/>
              <w:sz w:val="24"/>
              <w:szCs w:val="24"/>
            </w:rPr>
            <m:t>v</m:t>
          </m:r>
          <m:r>
            <w:rPr>
              <w:rFonts w:ascii="Cambria Math" w:eastAsia="Times New Roman" w:hAnsi="Cambria Math" w:cs="Times New Roman"/>
              <w:sz w:val="24"/>
              <w:szCs w:val="24"/>
            </w:rPr>
            <m:t>×</m:t>
          </m:r>
          <m:r>
            <m:rPr>
              <m:sty m:val="b"/>
            </m:rPr>
            <w:rPr>
              <w:rFonts w:ascii="Cambria Math" w:eastAsia="Times New Roman" w:hAnsi="Cambria Math" w:cs="Times New Roman"/>
              <w:sz w:val="24"/>
              <w:szCs w:val="24"/>
            </w:rPr>
            <m:t>B</m:t>
          </m:r>
          <m:r>
            <w:rPr>
              <w:rFonts w:ascii="Cambria Math" w:eastAsia="Times New Roman" w:hAnsi="Cambria Math" w:cs="Times New Roman"/>
              <w:sz w:val="24"/>
              <w:szCs w:val="24"/>
            </w:rPr>
            <m:t>)</m:t>
          </m:r>
          <m:r>
            <w:rPr>
              <w:rFonts w:ascii="Cambria Math" w:eastAsia="Times New Roman" w:hAnsi="Cambria Math" w:cs="Times New Roman"/>
              <w:i/>
              <w:sz w:val="24"/>
              <w:szCs w:val="24"/>
            </w:rPr>
            <w:br/>
          </m:r>
        </m:oMath>
      </m:oMathPara>
    </w:p>
    <w:p w14:paraId="191D249D"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Helmholtz coil configurations generate near-uniform magnetic fields, enabling controlled confinement of plasma or photon-coupled excitations. These fields provide a practical mechanism for shaping energy distributions within the warp field boundary.</w:t>
      </w:r>
    </w:p>
    <w:p w14:paraId="710FB59A" w14:textId="77777777" w:rsidR="00C00C4D" w:rsidRPr="00C00C4D" w:rsidRDefault="00C00C4D" w:rsidP="00C00C4D">
      <w:pPr>
        <w:spacing w:before="100" w:beforeAutospacing="1" w:after="100" w:afterAutospacing="1" w:line="240" w:lineRule="auto"/>
        <w:outlineLvl w:val="1"/>
        <w:rPr>
          <w:rFonts w:ascii="Times New Roman" w:eastAsia="Times New Roman" w:hAnsi="Times New Roman" w:cs="Times New Roman"/>
          <w:b/>
          <w:bCs/>
          <w:sz w:val="36"/>
          <w:szCs w:val="36"/>
        </w:rPr>
      </w:pPr>
      <w:r w:rsidRPr="00C00C4D">
        <w:rPr>
          <w:rFonts w:ascii="Times New Roman" w:eastAsia="Times New Roman" w:hAnsi="Times New Roman" w:cs="Times New Roman"/>
          <w:b/>
          <w:bCs/>
          <w:sz w:val="36"/>
          <w:szCs w:val="36"/>
        </w:rPr>
        <w:t>Photon Behavior and Effective Mass Clarification</w:t>
      </w:r>
    </w:p>
    <w:p w14:paraId="02B6C81D"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Photons possess no rest mass; however, in structured media or electromagnetic confinement systems, they can exhibit effective inertial behavior through coupling mechanisms such as polaritons.</w:t>
      </w:r>
    </w:p>
    <w:p w14:paraId="3927BB0E"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This framework uses “effective mass” strictly in this context:</w:t>
      </w:r>
    </w:p>
    <w:p w14:paraId="443FDC9C" w14:textId="77777777" w:rsidR="00C00C4D" w:rsidRPr="00C00C4D" w:rsidRDefault="00C00C4D" w:rsidP="00C00C4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It is interaction-dependent </w:t>
      </w:r>
    </w:p>
    <w:p w14:paraId="60FF12F4" w14:textId="77777777" w:rsidR="00C00C4D" w:rsidRPr="00C00C4D" w:rsidRDefault="00C00C4D" w:rsidP="00C00C4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It does not violate relativistic constraints </w:t>
      </w:r>
    </w:p>
    <w:p w14:paraId="34870304" w14:textId="77777777" w:rsidR="00C00C4D" w:rsidRPr="00C00C4D" w:rsidRDefault="00C00C4D" w:rsidP="00C00C4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It allows photons to participate in field stabilization </w:t>
      </w:r>
    </w:p>
    <w:p w14:paraId="166A8F3D" w14:textId="77777777" w:rsidR="00C00C4D" w:rsidRPr="00C00C4D" w:rsidRDefault="00C00C4D" w:rsidP="00C00C4D">
      <w:pPr>
        <w:spacing w:before="100" w:beforeAutospacing="1" w:after="100" w:afterAutospacing="1" w:line="240" w:lineRule="auto"/>
        <w:outlineLvl w:val="1"/>
        <w:rPr>
          <w:rFonts w:ascii="Times New Roman" w:eastAsia="Times New Roman" w:hAnsi="Times New Roman" w:cs="Times New Roman"/>
          <w:b/>
          <w:bCs/>
          <w:sz w:val="36"/>
          <w:szCs w:val="36"/>
        </w:rPr>
      </w:pPr>
      <w:r w:rsidRPr="00C00C4D">
        <w:rPr>
          <w:rFonts w:ascii="Times New Roman" w:eastAsia="Times New Roman" w:hAnsi="Times New Roman" w:cs="Times New Roman"/>
          <w:b/>
          <w:bCs/>
          <w:sz w:val="36"/>
          <w:szCs w:val="36"/>
        </w:rPr>
        <w:t>Gaussian and Fourier Harmonic Stability</w:t>
      </w:r>
    </w:p>
    <w:p w14:paraId="1105E158"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Energy distributions are modeled using Gaussian envelopes:</w:t>
      </w:r>
    </w:p>
    <w:p w14:paraId="29A299B4" w14:textId="77777777" w:rsidR="00C00C4D" w:rsidRPr="00C00C4D" w:rsidRDefault="00C00C4D" w:rsidP="00C00C4D">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E(r)=</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0</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r</m:t>
                  </m:r>
                </m:e>
                <m:sup>
                  <m:r>
                    <w:rPr>
                      <w:rFonts w:ascii="Cambria Math" w:eastAsia="Times New Roman" w:hAnsi="Cambria Math" w:cs="Times New Roman"/>
                      <w:sz w:val="24"/>
                      <w:szCs w:val="24"/>
                    </w:rPr>
                    <m:t>2</m:t>
                  </m:r>
                </m:sup>
              </m:sSup>
              <m:r>
                <m:rPr>
                  <m:sty m:val="p"/>
                </m:rP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sup>
          </m:sSup>
          <m:r>
            <w:rPr>
              <w:rFonts w:ascii="Cambria Math" w:eastAsia="Times New Roman" w:hAnsi="Cambria Math" w:cs="Times New Roman"/>
              <w:sz w:val="24"/>
              <w:szCs w:val="24"/>
            </w:rPr>
            <w:br/>
          </m:r>
        </m:oMath>
      </m:oMathPara>
    </w:p>
    <w:p w14:paraId="5DEF52B9"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Gaussian profiles minimize discontinuities and reduce instability at field boundaries.</w:t>
      </w:r>
    </w:p>
    <w:p w14:paraId="41457639"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Fourier decomposition provides harmonic control:</w:t>
      </w:r>
    </w:p>
    <w:p w14:paraId="20D53B94" w14:textId="77777777" w:rsidR="00C00C4D" w:rsidRPr="00C00C4D" w:rsidRDefault="00C00C4D" w:rsidP="00C00C4D">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f(t)=</m:t>
          </m:r>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n</m:t>
              </m: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n</m:t>
                  </m:r>
                </m:sub>
              </m:sSub>
            </m:e>
          </m:nary>
          <m:r>
            <m:rPr>
              <m:sty m:val="p"/>
            </m:rPr>
            <w:rPr>
              <w:rFonts w:ascii="Cambria Math" w:eastAsia="Times New Roman" w:hAnsi="Cambria Math" w:cs="Times New Roman"/>
              <w:sz w:val="24"/>
              <w:szCs w:val="24"/>
            </w:rPr>
            <m:t>sin</m:t>
          </m:r>
          <m:r>
            <w:rPr>
              <w:rFonts w:ascii="Cambria Math" w:eastAsia="Times New Roman" w:hAnsi="Cambria Math" w:cs="Times New Roman"/>
              <w:sz w:val="24"/>
              <w:szCs w:val="24"/>
            </w:rPr>
            <m:t>⁡(nωt+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ϕ</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br/>
          </m:r>
        </m:oMath>
      </m:oMathPara>
    </w:p>
    <w:p w14:paraId="2F5B728F"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Together, these methods allow dynamic shaping of energy fields, enabling controlled oscillations that maintain coherence during transitions.</w:t>
      </w:r>
    </w:p>
    <w:p w14:paraId="6246B0F6" w14:textId="22D2A990" w:rsidR="00C00C4D" w:rsidRPr="00C00C4D" w:rsidRDefault="00C00C4D" w:rsidP="00C00C4D">
      <w:pPr>
        <w:spacing w:after="0" w:line="240" w:lineRule="auto"/>
        <w:rPr>
          <w:rFonts w:ascii="Times New Roman" w:eastAsia="Times New Roman" w:hAnsi="Times New Roman" w:cs="Times New Roman"/>
          <w:sz w:val="24"/>
          <w:szCs w:val="24"/>
        </w:rPr>
      </w:pPr>
    </w:p>
    <w:p w14:paraId="4CFFC57A" w14:textId="77777777" w:rsidR="00C00C4D" w:rsidRPr="00C00C4D" w:rsidRDefault="00C00C4D" w:rsidP="00C00C4D">
      <w:pPr>
        <w:spacing w:before="100" w:beforeAutospacing="1" w:after="100" w:afterAutospacing="1" w:line="240" w:lineRule="auto"/>
        <w:outlineLvl w:val="1"/>
        <w:rPr>
          <w:rFonts w:ascii="Times New Roman" w:eastAsia="Times New Roman" w:hAnsi="Times New Roman" w:cs="Times New Roman"/>
          <w:b/>
          <w:bCs/>
          <w:sz w:val="36"/>
          <w:szCs w:val="36"/>
        </w:rPr>
      </w:pPr>
      <w:r w:rsidRPr="00C00C4D">
        <w:rPr>
          <w:rFonts w:ascii="Times New Roman" w:eastAsia="Times New Roman" w:hAnsi="Times New Roman" w:cs="Times New Roman"/>
          <w:b/>
          <w:bCs/>
          <w:sz w:val="36"/>
          <w:szCs w:val="36"/>
        </w:rPr>
        <w:lastRenderedPageBreak/>
        <w:t>Topological Field Structure and Klein Geometry</w:t>
      </w:r>
    </w:p>
    <w:p w14:paraId="0B47B9AE"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The Klein bottle represents a non-orientable surface with continuous internal connectivity. In this framework, it is used as an abstract model for field continuity:</w:t>
      </w:r>
    </w:p>
    <w:p w14:paraId="59AB1250" w14:textId="77777777" w:rsidR="00C00C4D" w:rsidRPr="00C00C4D" w:rsidRDefault="00C00C4D" w:rsidP="00C00C4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No boundary discontinuities </w:t>
      </w:r>
    </w:p>
    <w:p w14:paraId="12EA798E" w14:textId="77777777" w:rsidR="00C00C4D" w:rsidRPr="00C00C4D" w:rsidRDefault="00C00C4D" w:rsidP="00C00C4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Continuous energy circulation </w:t>
      </w:r>
    </w:p>
    <w:p w14:paraId="4846050B" w14:textId="77777777" w:rsidR="00C00C4D" w:rsidRPr="00C00C4D" w:rsidRDefault="00C00C4D" w:rsidP="00C00C4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Phase-preserving pathways </w:t>
      </w:r>
    </w:p>
    <w:p w14:paraId="413C4346"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This is mathematically expressed as divergence-free flow:</w:t>
      </w:r>
    </w:p>
    <w:p w14:paraId="3FEDAAD3" w14:textId="77777777" w:rsidR="00C00C4D" w:rsidRPr="00C00C4D" w:rsidRDefault="00C00C4D" w:rsidP="00C00C4D">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m:t>
          </m:r>
          <m:r>
            <m:rPr>
              <m:sty m:val="b"/>
            </m:rPr>
            <w:rPr>
              <w:rFonts w:ascii="Cambria Math" w:eastAsia="Times New Roman" w:hAnsi="Cambria Math" w:cs="Times New Roman"/>
              <w:sz w:val="24"/>
              <w:szCs w:val="24"/>
            </w:rPr>
            <m:t>J</m:t>
          </m:r>
          <m:r>
            <w:rPr>
              <w:rFonts w:ascii="Cambria Math" w:eastAsia="Times New Roman" w:hAnsi="Cambria Math" w:cs="Times New Roman"/>
              <w:sz w:val="24"/>
              <w:szCs w:val="24"/>
            </w:rPr>
            <m:t>=0</m:t>
          </m:r>
          <m:r>
            <w:rPr>
              <w:rFonts w:ascii="Cambria Math" w:eastAsia="Times New Roman" w:hAnsi="Cambria Math" w:cs="Times New Roman"/>
              <w:i/>
              <w:sz w:val="24"/>
              <w:szCs w:val="24"/>
            </w:rPr>
            <w:br/>
          </m:r>
        </m:oMath>
      </m:oMathPara>
    </w:p>
    <w:p w14:paraId="1BBF24B1"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Under non-orientable boundary conditions, this enables continuous field flow without singularities.</w:t>
      </w:r>
    </w:p>
    <w:p w14:paraId="0D2021A0" w14:textId="77777777" w:rsidR="00C00C4D" w:rsidRPr="00C00C4D" w:rsidRDefault="00C00C4D" w:rsidP="00C00C4D">
      <w:pPr>
        <w:spacing w:before="100" w:beforeAutospacing="1" w:after="100" w:afterAutospacing="1" w:line="240" w:lineRule="auto"/>
        <w:outlineLvl w:val="1"/>
        <w:rPr>
          <w:rFonts w:ascii="Times New Roman" w:eastAsia="Times New Roman" w:hAnsi="Times New Roman" w:cs="Times New Roman"/>
          <w:b/>
          <w:bCs/>
          <w:sz w:val="36"/>
          <w:szCs w:val="36"/>
        </w:rPr>
      </w:pPr>
      <w:r w:rsidRPr="00C00C4D">
        <w:rPr>
          <w:rFonts w:ascii="Times New Roman" w:eastAsia="Times New Roman" w:hAnsi="Times New Roman" w:cs="Times New Roman"/>
          <w:b/>
          <w:bCs/>
          <w:sz w:val="36"/>
          <w:szCs w:val="36"/>
        </w:rPr>
        <w:t>Lotus Harmonic Geometry and Energy Distribution</w:t>
      </w:r>
    </w:p>
    <w:p w14:paraId="24B6A50F"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Radial harmonic distributions are modeled using:</w:t>
      </w:r>
    </w:p>
    <w:p w14:paraId="0DE6F131" w14:textId="77777777" w:rsidR="00C00C4D" w:rsidRPr="00C00C4D" w:rsidRDefault="00C00C4D" w:rsidP="00C00C4D">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r(θ)=a</m:t>
          </m:r>
          <m:r>
            <m:rPr>
              <m:sty m:val="p"/>
            </m:rPr>
            <w:rPr>
              <w:rFonts w:ascii="Cambria Math" w:eastAsia="Times New Roman" w:hAnsi="Cambria Math" w:cs="Times New Roman"/>
              <w:sz w:val="24"/>
              <w:szCs w:val="24"/>
            </w:rPr>
            <m:t>sin</m:t>
          </m:r>
          <m:r>
            <w:rPr>
              <w:rFonts w:ascii="Cambria Math" w:eastAsia="Times New Roman" w:hAnsi="Cambria Math" w:cs="Times New Roman"/>
              <w:sz w:val="24"/>
              <w:szCs w:val="24"/>
            </w:rPr>
            <m:t>⁡(kθ)</m:t>
          </m:r>
          <m:r>
            <w:rPr>
              <w:rFonts w:ascii="Cambria Math" w:eastAsia="Times New Roman" w:hAnsi="Cambria Math" w:cs="Times New Roman"/>
              <w:i/>
              <w:sz w:val="24"/>
              <w:szCs w:val="24"/>
            </w:rPr>
            <w:br/>
          </m:r>
        </m:oMath>
      </m:oMathPara>
    </w:p>
    <w:p w14:paraId="6FBF95E0"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These “lotus” patterns define spatial energy distribution:</w:t>
      </w:r>
    </w:p>
    <w:p w14:paraId="23E5B19B" w14:textId="77777777" w:rsidR="00C00C4D" w:rsidRPr="00C00C4D" w:rsidRDefault="00C00C4D" w:rsidP="00C00C4D">
      <w:pPr>
        <w:numPr>
          <w:ilvl w:val="0"/>
          <w:numId w:val="14"/>
        </w:num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r</m:t>
        </m:r>
      </m:oMath>
      <w:r w:rsidRPr="00C00C4D">
        <w:rPr>
          <w:rFonts w:ascii="Times New Roman" w:eastAsia="Times New Roman" w:hAnsi="Times New Roman" w:cs="Times New Roman"/>
          <w:sz w:val="24"/>
          <w:szCs w:val="24"/>
        </w:rPr>
        <w:t xml:space="preserve">: radial energy intensity </w:t>
      </w:r>
    </w:p>
    <w:p w14:paraId="3DDB4B45" w14:textId="77777777" w:rsidR="00C00C4D" w:rsidRPr="00C00C4D" w:rsidRDefault="00C00C4D" w:rsidP="00C00C4D">
      <w:pPr>
        <w:numPr>
          <w:ilvl w:val="0"/>
          <w:numId w:val="14"/>
        </w:num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k</m:t>
        </m:r>
      </m:oMath>
      <w:r w:rsidRPr="00C00C4D">
        <w:rPr>
          <w:rFonts w:ascii="Times New Roman" w:eastAsia="Times New Roman" w:hAnsi="Times New Roman" w:cs="Times New Roman"/>
          <w:sz w:val="24"/>
          <w:szCs w:val="24"/>
        </w:rPr>
        <w:t xml:space="preserve">: harmonic mode number </w:t>
      </w:r>
    </w:p>
    <w:p w14:paraId="20E3663E" w14:textId="77777777" w:rsidR="00C00C4D" w:rsidRPr="00C00C4D" w:rsidRDefault="00C00C4D" w:rsidP="00C00C4D">
      <w:pPr>
        <w:numPr>
          <w:ilvl w:val="0"/>
          <w:numId w:val="14"/>
        </w:numPr>
        <w:spacing w:before="100" w:beforeAutospacing="1" w:after="100" w:afterAutospacing="1" w:line="240" w:lineRule="auto"/>
        <w:rPr>
          <w:rFonts w:ascii="Times New Roman" w:eastAsia="Times New Roman" w:hAnsi="Times New Roman" w:cs="Times New Roman"/>
          <w:sz w:val="24"/>
          <w:szCs w:val="24"/>
        </w:rPr>
      </w:pPr>
      <m:oMath>
        <m:r>
          <w:rPr>
            <w:rFonts w:ascii="Cambria Math" w:eastAsia="Times New Roman" w:hAnsi="Cambria Math" w:cs="Times New Roman"/>
            <w:sz w:val="24"/>
            <w:szCs w:val="24"/>
          </w:rPr>
          <m:t>a</m:t>
        </m:r>
      </m:oMath>
      <w:r w:rsidRPr="00C00C4D">
        <w:rPr>
          <w:rFonts w:ascii="Times New Roman" w:eastAsia="Times New Roman" w:hAnsi="Times New Roman" w:cs="Times New Roman"/>
          <w:sz w:val="24"/>
          <w:szCs w:val="24"/>
        </w:rPr>
        <w:t xml:space="preserve">: amplitude scaling </w:t>
      </w:r>
    </w:p>
    <w:p w14:paraId="4ED619A3" w14:textId="773E1968"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This geometry enables symmetric energy </w:t>
      </w:r>
      <w:r w:rsidRPr="00C00C4D">
        <w:rPr>
          <w:rFonts w:ascii="Times New Roman" w:eastAsia="Times New Roman" w:hAnsi="Times New Roman" w:cs="Times New Roman"/>
          <w:sz w:val="24"/>
          <w:szCs w:val="24"/>
        </w:rPr>
        <w:t>route</w:t>
      </w:r>
      <w:r w:rsidRPr="00C00C4D">
        <w:rPr>
          <w:rFonts w:ascii="Times New Roman" w:eastAsia="Times New Roman" w:hAnsi="Times New Roman" w:cs="Times New Roman"/>
          <w:sz w:val="24"/>
          <w:szCs w:val="24"/>
        </w:rPr>
        <w:t>, reducing localized stress within the field.</w:t>
      </w:r>
    </w:p>
    <w:p w14:paraId="06A25623" w14:textId="2461934F" w:rsidR="00C00C4D" w:rsidRPr="00C00C4D" w:rsidRDefault="00C00C4D" w:rsidP="00C00C4D">
      <w:pPr>
        <w:spacing w:after="0" w:line="240" w:lineRule="auto"/>
        <w:rPr>
          <w:rFonts w:ascii="Times New Roman" w:eastAsia="Times New Roman" w:hAnsi="Times New Roman" w:cs="Times New Roman"/>
          <w:sz w:val="24"/>
          <w:szCs w:val="24"/>
        </w:rPr>
      </w:pPr>
    </w:p>
    <w:p w14:paraId="1CCF40FA" w14:textId="77777777" w:rsidR="00C00C4D" w:rsidRPr="00C00C4D" w:rsidRDefault="00C00C4D" w:rsidP="00C00C4D">
      <w:pPr>
        <w:spacing w:before="100" w:beforeAutospacing="1" w:after="100" w:afterAutospacing="1" w:line="240" w:lineRule="auto"/>
        <w:outlineLvl w:val="1"/>
        <w:rPr>
          <w:rFonts w:ascii="Times New Roman" w:eastAsia="Times New Roman" w:hAnsi="Times New Roman" w:cs="Times New Roman"/>
          <w:b/>
          <w:bCs/>
          <w:sz w:val="36"/>
          <w:szCs w:val="36"/>
        </w:rPr>
      </w:pPr>
      <w:r w:rsidRPr="00C00C4D">
        <w:rPr>
          <w:rFonts w:ascii="Times New Roman" w:eastAsia="Times New Roman" w:hAnsi="Times New Roman" w:cs="Times New Roman"/>
          <w:b/>
          <w:bCs/>
          <w:sz w:val="36"/>
          <w:szCs w:val="36"/>
        </w:rPr>
        <w:t>Physical Constraints and Energy Considerations</w:t>
      </w:r>
    </w:p>
    <w:p w14:paraId="55FC7C81" w14:textId="2106913D"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Any </w:t>
      </w:r>
      <w:r w:rsidRPr="00C00C4D">
        <w:rPr>
          <w:rFonts w:ascii="Times New Roman" w:eastAsia="Times New Roman" w:hAnsi="Times New Roman" w:cs="Times New Roman"/>
          <w:sz w:val="24"/>
          <w:szCs w:val="24"/>
        </w:rPr>
        <w:t>war</w:t>
      </w:r>
      <w:r>
        <w:rPr>
          <w:rFonts w:ascii="Times New Roman" w:eastAsia="Times New Roman" w:hAnsi="Times New Roman" w:cs="Times New Roman"/>
          <w:sz w:val="24"/>
          <w:szCs w:val="24"/>
        </w:rPr>
        <w:t xml:space="preserve">p </w:t>
      </w:r>
      <w:r w:rsidRPr="00C00C4D">
        <w:rPr>
          <w:rFonts w:ascii="Times New Roman" w:eastAsia="Times New Roman" w:hAnsi="Times New Roman" w:cs="Times New Roman"/>
          <w:sz w:val="24"/>
          <w:szCs w:val="24"/>
        </w:rPr>
        <w:t>related model must respect known constraints:</w:t>
      </w:r>
    </w:p>
    <w:p w14:paraId="524137DB" w14:textId="77777777" w:rsidR="00C00C4D" w:rsidRPr="00C00C4D" w:rsidRDefault="00C00C4D" w:rsidP="00C00C4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Energy requirements scale with curvature intensity </w:t>
      </w:r>
    </w:p>
    <w:p w14:paraId="2B08A1FA" w14:textId="77777777" w:rsidR="00C00C4D" w:rsidRPr="00C00C4D" w:rsidRDefault="00C00C4D" w:rsidP="00C00C4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Negative energy conditions may be required </w:t>
      </w:r>
    </w:p>
    <w:p w14:paraId="053AD05C" w14:textId="77777777" w:rsidR="00C00C4D" w:rsidRPr="00C00C4D" w:rsidRDefault="00C00C4D" w:rsidP="00C00C4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Stability depends on maintaining bounded energy densities </w:t>
      </w:r>
    </w:p>
    <w:p w14:paraId="3C581969"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This framework does not claim resolution of these constraints but incorporates them as limiting conditions for all simulations.</w:t>
      </w:r>
    </w:p>
    <w:p w14:paraId="46058F33" w14:textId="77777777" w:rsidR="00C00C4D" w:rsidRPr="00C00C4D" w:rsidRDefault="00C00C4D" w:rsidP="00C00C4D">
      <w:pPr>
        <w:spacing w:before="100" w:beforeAutospacing="1" w:after="100" w:afterAutospacing="1" w:line="240" w:lineRule="auto"/>
        <w:outlineLvl w:val="1"/>
        <w:rPr>
          <w:rFonts w:ascii="Times New Roman" w:eastAsia="Times New Roman" w:hAnsi="Times New Roman" w:cs="Times New Roman"/>
          <w:b/>
          <w:bCs/>
          <w:sz w:val="36"/>
          <w:szCs w:val="36"/>
        </w:rPr>
      </w:pPr>
      <w:r w:rsidRPr="00C00C4D">
        <w:rPr>
          <w:rFonts w:ascii="Times New Roman" w:eastAsia="Times New Roman" w:hAnsi="Times New Roman" w:cs="Times New Roman"/>
          <w:b/>
          <w:bCs/>
          <w:sz w:val="36"/>
          <w:szCs w:val="36"/>
        </w:rPr>
        <w:lastRenderedPageBreak/>
        <w:t>Testable Predictions</w:t>
      </w:r>
    </w:p>
    <w:p w14:paraId="5E537DF4"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The framework produces measurable outcomes:</w:t>
      </w:r>
    </w:p>
    <w:p w14:paraId="4413DF18"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A synchronized multi-clock system should exhibit reduced phase drift compared to unsynchronized systems under identical conditions</w:t>
      </w:r>
    </w:p>
    <w:p w14:paraId="4962734F"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Gaussian-modulated electromagnetic fields should demonstrate improved confinement stability relative to non-Gaussian distributions</w:t>
      </w:r>
    </w:p>
    <w:p w14:paraId="60EE8480"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Helmholtz-based plasma systems using harmonic modulation should show measurable reductions in turbulence or field collapse events</w:t>
      </w:r>
    </w:p>
    <w:p w14:paraId="395E046F"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Non-orientable field simulations should demonstrate improved continuity metrics compared to bounded geometries</w:t>
      </w:r>
    </w:p>
    <w:p w14:paraId="41899460" w14:textId="77777777" w:rsidR="00C00C4D" w:rsidRPr="00C00C4D" w:rsidRDefault="00C00C4D" w:rsidP="00C00C4D">
      <w:pPr>
        <w:spacing w:before="100" w:beforeAutospacing="1" w:after="100" w:afterAutospacing="1" w:line="240" w:lineRule="auto"/>
        <w:outlineLvl w:val="1"/>
        <w:rPr>
          <w:rFonts w:ascii="Times New Roman" w:eastAsia="Times New Roman" w:hAnsi="Times New Roman" w:cs="Times New Roman"/>
          <w:b/>
          <w:bCs/>
          <w:sz w:val="36"/>
          <w:szCs w:val="36"/>
        </w:rPr>
      </w:pPr>
      <w:r w:rsidRPr="00C00C4D">
        <w:rPr>
          <w:rFonts w:ascii="Times New Roman" w:eastAsia="Times New Roman" w:hAnsi="Times New Roman" w:cs="Times New Roman"/>
          <w:b/>
          <w:bCs/>
          <w:sz w:val="36"/>
          <w:szCs w:val="36"/>
        </w:rPr>
        <w:t>Diagram: Klein Bottle Warp Field with Gaussian–Lotus Pulses</w:t>
      </w:r>
    </w:p>
    <w:p w14:paraId="560DF732"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The diagram below illustrates the conceptual structure of the model, combining non-orientable topology with harmonic energy distribution.</w:t>
      </w:r>
    </w:p>
    <w:p w14:paraId="70D12E93" w14:textId="77777777" w:rsidR="00C00C4D" w:rsidRPr="00C00C4D" w:rsidRDefault="00C00C4D" w:rsidP="00C00C4D">
      <w:pPr>
        <w:spacing w:after="0" w:line="240" w:lineRule="auto"/>
        <w:jc w:val="center"/>
        <w:rPr>
          <w:rFonts w:ascii="Times New Roman" w:eastAsia="Times New Roman" w:hAnsi="Times New Roman" w:cs="Times New Roman"/>
          <w:sz w:val="24"/>
          <w:szCs w:val="24"/>
        </w:rPr>
      </w:pPr>
      <w:r w:rsidRPr="00C00C4D">
        <w:rPr>
          <w:rFonts w:ascii="Times New Roman" w:eastAsia="Times New Roman" w:hAnsi="Times New Roman" w:cs="Times New Roman"/>
          <w:noProof/>
          <w:sz w:val="24"/>
          <w:szCs w:val="24"/>
        </w:rPr>
        <w:drawing>
          <wp:inline distT="0" distB="0" distL="0" distR="0" wp14:anchorId="17654066" wp14:editId="2FAC68AE">
            <wp:extent cx="3552825" cy="3704655"/>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0852" cy="3713025"/>
                    </a:xfrm>
                    <a:prstGeom prst="rect">
                      <a:avLst/>
                    </a:prstGeom>
                    <a:noFill/>
                    <a:ln>
                      <a:noFill/>
                    </a:ln>
                  </pic:spPr>
                </pic:pic>
              </a:graphicData>
            </a:graphic>
          </wp:inline>
        </w:drawing>
      </w:r>
    </w:p>
    <w:p w14:paraId="23F4AF72" w14:textId="77777777" w:rsidR="00C00C4D" w:rsidRPr="00C00C4D" w:rsidRDefault="00C00C4D" w:rsidP="00C00C4D">
      <w:pPr>
        <w:spacing w:after="0" w:line="240" w:lineRule="auto"/>
        <w:jc w:val="center"/>
        <w:rPr>
          <w:rFonts w:ascii="Times New Roman" w:eastAsia="Times New Roman" w:hAnsi="Times New Roman" w:cs="Times New Roman"/>
          <w:sz w:val="24"/>
          <w:szCs w:val="24"/>
        </w:rPr>
      </w:pPr>
      <w:r w:rsidRPr="00C00C4D">
        <w:rPr>
          <w:rFonts w:ascii="Times New Roman" w:eastAsia="Times New Roman" w:hAnsi="Times New Roman" w:cs="Times New Roman"/>
          <w:noProof/>
          <w:sz w:val="24"/>
          <w:szCs w:val="24"/>
        </w:rPr>
        <w:lastRenderedPageBreak/>
        <w:drawing>
          <wp:inline distT="0" distB="0" distL="0" distR="0" wp14:anchorId="7E6F712A" wp14:editId="295FBE44">
            <wp:extent cx="4029830" cy="2096770"/>
            <wp:effectExtent l="0" t="0" r="889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flipV="1">
                      <a:off x="0" y="0"/>
                      <a:ext cx="4046677" cy="2105535"/>
                    </a:xfrm>
                    <a:prstGeom prst="rect">
                      <a:avLst/>
                    </a:prstGeom>
                    <a:noFill/>
                    <a:ln>
                      <a:noFill/>
                    </a:ln>
                  </pic:spPr>
                </pic:pic>
              </a:graphicData>
            </a:graphic>
          </wp:inline>
        </w:drawing>
      </w:r>
    </w:p>
    <w:p w14:paraId="7CFB6D92" w14:textId="77777777" w:rsidR="00C00C4D" w:rsidRPr="00C00C4D" w:rsidRDefault="00C00C4D" w:rsidP="00C00C4D">
      <w:pPr>
        <w:spacing w:after="0" w:line="240" w:lineRule="auto"/>
        <w:jc w:val="center"/>
        <w:rPr>
          <w:rFonts w:ascii="Times New Roman" w:eastAsia="Times New Roman" w:hAnsi="Times New Roman" w:cs="Times New Roman"/>
          <w:sz w:val="24"/>
          <w:szCs w:val="24"/>
        </w:rPr>
      </w:pPr>
      <w:r w:rsidRPr="00C00C4D">
        <w:rPr>
          <w:rFonts w:ascii="Times New Roman" w:eastAsia="Times New Roman" w:hAnsi="Times New Roman" w:cs="Times New Roman"/>
          <w:noProof/>
          <w:sz w:val="24"/>
          <w:szCs w:val="24"/>
        </w:rPr>
        <w:drawing>
          <wp:inline distT="0" distB="0" distL="0" distR="0" wp14:anchorId="2857E23E" wp14:editId="4B1DFD41">
            <wp:extent cx="2860675" cy="2908167"/>
            <wp:effectExtent l="0" t="0" r="0" b="698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7525" cy="2925297"/>
                    </a:xfrm>
                    <a:prstGeom prst="rect">
                      <a:avLst/>
                    </a:prstGeom>
                    <a:noFill/>
                    <a:ln>
                      <a:noFill/>
                    </a:ln>
                  </pic:spPr>
                </pic:pic>
              </a:graphicData>
            </a:graphic>
          </wp:inline>
        </w:drawing>
      </w:r>
    </w:p>
    <w:p w14:paraId="54A76CFA" w14:textId="5C15ABF3" w:rsidR="00C00C4D" w:rsidRPr="00C00C4D" w:rsidRDefault="00C00C4D" w:rsidP="00086DCB">
      <w:pPr>
        <w:spacing w:after="0" w:line="240" w:lineRule="auto"/>
        <w:jc w:val="center"/>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5</w:t>
      </w:r>
      <w:r w:rsidR="00086DCB">
        <w:rPr>
          <w:noProof/>
        </w:rPr>
        <w:drawing>
          <wp:inline distT="0" distB="0" distL="0" distR="0" wp14:anchorId="46726A89" wp14:editId="2E6DDAC5">
            <wp:extent cx="3323890" cy="289306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ein_Bottle_Warp_Field_Gaussian_Lotus.png"/>
                    <pic:cNvPicPr/>
                  </pic:nvPicPr>
                  <pic:blipFill>
                    <a:blip r:embed="rId9"/>
                    <a:stretch>
                      <a:fillRect/>
                    </a:stretch>
                  </pic:blipFill>
                  <pic:spPr>
                    <a:xfrm>
                      <a:off x="0" y="0"/>
                      <a:ext cx="3327577" cy="2896277"/>
                    </a:xfrm>
                    <a:prstGeom prst="rect">
                      <a:avLst/>
                    </a:prstGeom>
                  </pic:spPr>
                </pic:pic>
              </a:graphicData>
            </a:graphic>
          </wp:inline>
        </w:drawing>
      </w:r>
    </w:p>
    <w:p w14:paraId="360CA53D" w14:textId="493677B1"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lastRenderedPageBreak/>
        <w:t>This representation shows:</w:t>
      </w:r>
    </w:p>
    <w:p w14:paraId="1E2BD6A6" w14:textId="77777777" w:rsidR="00C00C4D" w:rsidRPr="00C00C4D" w:rsidRDefault="00C00C4D" w:rsidP="00C00C4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A continuous Klein topology forming the field boundary </w:t>
      </w:r>
    </w:p>
    <w:p w14:paraId="12D66EB5" w14:textId="77777777" w:rsidR="00C00C4D" w:rsidRPr="00C00C4D" w:rsidRDefault="00C00C4D" w:rsidP="00C00C4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Internal harmonic loops representing Gaussian–Fourier modulation </w:t>
      </w:r>
    </w:p>
    <w:p w14:paraId="4761C568" w14:textId="77777777" w:rsidR="00C00C4D" w:rsidRPr="00C00C4D" w:rsidRDefault="00C00C4D" w:rsidP="00C00C4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 xml:space="preserve">External orbital paths representing energy routing symmetry </w:t>
      </w:r>
    </w:p>
    <w:p w14:paraId="0CDF14B4" w14:textId="77777777" w:rsidR="00C00C4D" w:rsidRPr="00C00C4D" w:rsidRDefault="00C00C4D" w:rsidP="00C00C4D">
      <w:pPr>
        <w:spacing w:after="0"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pict w14:anchorId="1C90F09C">
          <v:rect id="_x0000_i1036" style="width:0;height:1.5pt" o:hralign="center" o:hrstd="t" o:hr="t" fillcolor="#a0a0a0" stroked="f"/>
        </w:pict>
      </w:r>
    </w:p>
    <w:p w14:paraId="652A02C6" w14:textId="77777777" w:rsidR="00C00C4D" w:rsidRPr="00C00C4D" w:rsidRDefault="00C00C4D" w:rsidP="00C00C4D">
      <w:pPr>
        <w:spacing w:before="100" w:beforeAutospacing="1" w:after="100" w:afterAutospacing="1" w:line="240" w:lineRule="auto"/>
        <w:outlineLvl w:val="1"/>
        <w:rPr>
          <w:rFonts w:ascii="Times New Roman" w:eastAsia="Times New Roman" w:hAnsi="Times New Roman" w:cs="Times New Roman"/>
          <w:b/>
          <w:bCs/>
          <w:sz w:val="36"/>
          <w:szCs w:val="36"/>
        </w:rPr>
      </w:pPr>
      <w:r w:rsidRPr="00C00C4D">
        <w:rPr>
          <w:rFonts w:ascii="Times New Roman" w:eastAsia="Times New Roman" w:hAnsi="Times New Roman" w:cs="Times New Roman"/>
          <w:b/>
          <w:bCs/>
          <w:sz w:val="36"/>
          <w:szCs w:val="36"/>
        </w:rPr>
        <w:t>Conclusion</w:t>
      </w:r>
    </w:p>
    <w:p w14:paraId="17B9476A"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This work presents a structured theoretical framework integrating multiple domains of physics into a unified, time-synchronized field model. While not a complete physical solution to warp propulsion, it establishes a mathematically consistent and experimentally approachable system.</w:t>
      </w:r>
    </w:p>
    <w:p w14:paraId="39F56D0C" w14:textId="77777777" w:rsidR="00C00C4D" w:rsidRPr="00C00C4D" w:rsidRDefault="00C00C4D" w:rsidP="00C00C4D">
      <w:pPr>
        <w:spacing w:before="100" w:beforeAutospacing="1" w:after="100" w:afterAutospacing="1" w:line="240" w:lineRule="auto"/>
        <w:rPr>
          <w:rFonts w:ascii="Times New Roman" w:eastAsia="Times New Roman" w:hAnsi="Times New Roman" w:cs="Times New Roman"/>
          <w:sz w:val="24"/>
          <w:szCs w:val="24"/>
        </w:rPr>
      </w:pPr>
      <w:r w:rsidRPr="00C00C4D">
        <w:rPr>
          <w:rFonts w:ascii="Times New Roman" w:eastAsia="Times New Roman" w:hAnsi="Times New Roman" w:cs="Times New Roman"/>
          <w:sz w:val="24"/>
          <w:szCs w:val="24"/>
        </w:rPr>
        <w:t>The inclusion of explicit governing equations, dimensional constraints, and testable predictions allows the framework to transition from conceptual synthesis to falsifiable theory. Future work will focus on simulation development and experimental validation of harmonic field control and time synchronization effects.</w:t>
      </w:r>
    </w:p>
    <w:p w14:paraId="198A584E" w14:textId="77777777" w:rsidR="00086DCB" w:rsidRPr="00086DCB" w:rsidRDefault="00086DCB" w:rsidP="00086D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6DCB">
        <w:rPr>
          <w:rFonts w:ascii="Times New Roman" w:eastAsia="Times New Roman" w:hAnsi="Times New Roman" w:cs="Times New Roman"/>
          <w:b/>
          <w:bCs/>
          <w:kern w:val="36"/>
          <w:sz w:val="48"/>
          <w:szCs w:val="48"/>
        </w:rPr>
        <w:t>References</w:t>
      </w:r>
    </w:p>
    <w:p w14:paraId="6B6A756F"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t xml:space="preserve">Alcubierre, M. (1994). The warp drive: Hyper-fast travel within general relativity. </w:t>
      </w:r>
      <w:r w:rsidRPr="00086DCB">
        <w:rPr>
          <w:rFonts w:ascii="Times New Roman" w:eastAsia="Times New Roman" w:hAnsi="Times New Roman" w:cs="Times New Roman"/>
          <w:i/>
          <w:iCs/>
          <w:sz w:val="24"/>
          <w:szCs w:val="24"/>
        </w:rPr>
        <w:t>Classical and Quantum Gravity, 11</w:t>
      </w:r>
      <w:r w:rsidRPr="00086DCB">
        <w:rPr>
          <w:rFonts w:ascii="Times New Roman" w:eastAsia="Times New Roman" w:hAnsi="Times New Roman" w:cs="Times New Roman"/>
          <w:sz w:val="24"/>
          <w:szCs w:val="24"/>
        </w:rPr>
        <w:t xml:space="preserve">(5), L73–L77. </w:t>
      </w:r>
      <w:hyperlink r:id="rId10" w:tgtFrame="_new" w:history="1">
        <w:r w:rsidRPr="00086DCB">
          <w:rPr>
            <w:rFonts w:ascii="Times New Roman" w:eastAsia="Times New Roman" w:hAnsi="Times New Roman" w:cs="Times New Roman"/>
            <w:color w:val="0000FF"/>
            <w:sz w:val="24"/>
            <w:szCs w:val="24"/>
            <w:u w:val="single"/>
          </w:rPr>
          <w:t>https://doi.org/10.1088/0264-9381/11/5/001</w:t>
        </w:r>
      </w:hyperlink>
    </w:p>
    <w:p w14:paraId="6E282001"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t xml:space="preserve">Einstein, A. (1915). The field equations of gravitation. </w:t>
      </w:r>
      <w:proofErr w:type="spellStart"/>
      <w:r w:rsidRPr="00086DCB">
        <w:rPr>
          <w:rFonts w:ascii="Times New Roman" w:eastAsia="Times New Roman" w:hAnsi="Times New Roman" w:cs="Times New Roman"/>
          <w:i/>
          <w:iCs/>
          <w:sz w:val="24"/>
          <w:szCs w:val="24"/>
        </w:rPr>
        <w:t>Sitzungsberichte</w:t>
      </w:r>
      <w:proofErr w:type="spellEnd"/>
      <w:r w:rsidRPr="00086DCB">
        <w:rPr>
          <w:rFonts w:ascii="Times New Roman" w:eastAsia="Times New Roman" w:hAnsi="Times New Roman" w:cs="Times New Roman"/>
          <w:i/>
          <w:iCs/>
          <w:sz w:val="24"/>
          <w:szCs w:val="24"/>
        </w:rPr>
        <w:t xml:space="preserve"> der </w:t>
      </w:r>
      <w:proofErr w:type="spellStart"/>
      <w:r w:rsidRPr="00086DCB">
        <w:rPr>
          <w:rFonts w:ascii="Times New Roman" w:eastAsia="Times New Roman" w:hAnsi="Times New Roman" w:cs="Times New Roman"/>
          <w:i/>
          <w:iCs/>
          <w:sz w:val="24"/>
          <w:szCs w:val="24"/>
        </w:rPr>
        <w:t>Preussischen</w:t>
      </w:r>
      <w:proofErr w:type="spellEnd"/>
      <w:r w:rsidRPr="00086DCB">
        <w:rPr>
          <w:rFonts w:ascii="Times New Roman" w:eastAsia="Times New Roman" w:hAnsi="Times New Roman" w:cs="Times New Roman"/>
          <w:i/>
          <w:iCs/>
          <w:sz w:val="24"/>
          <w:szCs w:val="24"/>
        </w:rPr>
        <w:t xml:space="preserve"> Akademie der </w:t>
      </w:r>
      <w:proofErr w:type="spellStart"/>
      <w:r w:rsidRPr="00086DCB">
        <w:rPr>
          <w:rFonts w:ascii="Times New Roman" w:eastAsia="Times New Roman" w:hAnsi="Times New Roman" w:cs="Times New Roman"/>
          <w:i/>
          <w:iCs/>
          <w:sz w:val="24"/>
          <w:szCs w:val="24"/>
        </w:rPr>
        <w:t>Wissenschaften</w:t>
      </w:r>
      <w:proofErr w:type="spellEnd"/>
      <w:r w:rsidRPr="00086DCB">
        <w:rPr>
          <w:rFonts w:ascii="Times New Roman" w:eastAsia="Times New Roman" w:hAnsi="Times New Roman" w:cs="Times New Roman"/>
          <w:sz w:val="24"/>
          <w:szCs w:val="24"/>
        </w:rPr>
        <w:t>, 844–847.</w:t>
      </w:r>
    </w:p>
    <w:p w14:paraId="1460A9CC"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t xml:space="preserve">Misner, C. W., Thorne, K. S., &amp; Wheeler, J. A. (1973). </w:t>
      </w:r>
      <w:r w:rsidRPr="00086DCB">
        <w:rPr>
          <w:rFonts w:ascii="Times New Roman" w:eastAsia="Times New Roman" w:hAnsi="Times New Roman" w:cs="Times New Roman"/>
          <w:i/>
          <w:iCs/>
          <w:sz w:val="24"/>
          <w:szCs w:val="24"/>
        </w:rPr>
        <w:t>Gravitation</w:t>
      </w:r>
      <w:r w:rsidRPr="00086DCB">
        <w:rPr>
          <w:rFonts w:ascii="Times New Roman" w:eastAsia="Times New Roman" w:hAnsi="Times New Roman" w:cs="Times New Roman"/>
          <w:sz w:val="24"/>
          <w:szCs w:val="24"/>
        </w:rPr>
        <w:t>. W. H. Freeman and Company.</w:t>
      </w:r>
    </w:p>
    <w:p w14:paraId="5B5EAC15"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t xml:space="preserve">Jackson, J. D. (1999). </w:t>
      </w:r>
      <w:r w:rsidRPr="00086DCB">
        <w:rPr>
          <w:rFonts w:ascii="Times New Roman" w:eastAsia="Times New Roman" w:hAnsi="Times New Roman" w:cs="Times New Roman"/>
          <w:i/>
          <w:iCs/>
          <w:sz w:val="24"/>
          <w:szCs w:val="24"/>
        </w:rPr>
        <w:t>Classical Electrodynamics</w:t>
      </w:r>
      <w:r w:rsidRPr="00086DCB">
        <w:rPr>
          <w:rFonts w:ascii="Times New Roman" w:eastAsia="Times New Roman" w:hAnsi="Times New Roman" w:cs="Times New Roman"/>
          <w:sz w:val="24"/>
          <w:szCs w:val="24"/>
        </w:rPr>
        <w:t xml:space="preserve"> (3rd ed.). Wiley.</w:t>
      </w:r>
    </w:p>
    <w:p w14:paraId="59FC8B94"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t xml:space="preserve">Griffiths, D. J. (2017). </w:t>
      </w:r>
      <w:r w:rsidRPr="00086DCB">
        <w:rPr>
          <w:rFonts w:ascii="Times New Roman" w:eastAsia="Times New Roman" w:hAnsi="Times New Roman" w:cs="Times New Roman"/>
          <w:i/>
          <w:iCs/>
          <w:sz w:val="24"/>
          <w:szCs w:val="24"/>
        </w:rPr>
        <w:t>Introduction to Electrodynamics</w:t>
      </w:r>
      <w:r w:rsidRPr="00086DCB">
        <w:rPr>
          <w:rFonts w:ascii="Times New Roman" w:eastAsia="Times New Roman" w:hAnsi="Times New Roman" w:cs="Times New Roman"/>
          <w:sz w:val="24"/>
          <w:szCs w:val="24"/>
        </w:rPr>
        <w:t xml:space="preserve"> (4th ed.). Cambridge University Press.</w:t>
      </w:r>
    </w:p>
    <w:p w14:paraId="48838076"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t xml:space="preserve">Feynman, R. P., Leighton, R. B., &amp; Sands, M. (1964). </w:t>
      </w:r>
      <w:r w:rsidRPr="00086DCB">
        <w:rPr>
          <w:rFonts w:ascii="Times New Roman" w:eastAsia="Times New Roman" w:hAnsi="Times New Roman" w:cs="Times New Roman"/>
          <w:i/>
          <w:iCs/>
          <w:sz w:val="24"/>
          <w:szCs w:val="24"/>
        </w:rPr>
        <w:t>The Feynman Lectures on Physics, Vol. II</w:t>
      </w:r>
      <w:r w:rsidRPr="00086DCB">
        <w:rPr>
          <w:rFonts w:ascii="Times New Roman" w:eastAsia="Times New Roman" w:hAnsi="Times New Roman" w:cs="Times New Roman"/>
          <w:sz w:val="24"/>
          <w:szCs w:val="24"/>
        </w:rPr>
        <w:t>. Addison-Wesley.</w:t>
      </w:r>
    </w:p>
    <w:p w14:paraId="77E40495"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t xml:space="preserve">Boyd, R. W. (2020). </w:t>
      </w:r>
      <w:r w:rsidRPr="00086DCB">
        <w:rPr>
          <w:rFonts w:ascii="Times New Roman" w:eastAsia="Times New Roman" w:hAnsi="Times New Roman" w:cs="Times New Roman"/>
          <w:i/>
          <w:iCs/>
          <w:sz w:val="24"/>
          <w:szCs w:val="24"/>
        </w:rPr>
        <w:t>Nonlinear Optics</w:t>
      </w:r>
      <w:r w:rsidRPr="00086DCB">
        <w:rPr>
          <w:rFonts w:ascii="Times New Roman" w:eastAsia="Times New Roman" w:hAnsi="Times New Roman" w:cs="Times New Roman"/>
          <w:sz w:val="24"/>
          <w:szCs w:val="24"/>
        </w:rPr>
        <w:t xml:space="preserve"> (4th ed.). Academic Press.</w:t>
      </w:r>
    </w:p>
    <w:p w14:paraId="0190C08B"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proofErr w:type="spellStart"/>
      <w:r w:rsidRPr="00086DCB">
        <w:rPr>
          <w:rFonts w:ascii="Times New Roman" w:eastAsia="Times New Roman" w:hAnsi="Times New Roman" w:cs="Times New Roman"/>
          <w:sz w:val="24"/>
          <w:szCs w:val="24"/>
        </w:rPr>
        <w:t>Carusotto</w:t>
      </w:r>
      <w:proofErr w:type="spellEnd"/>
      <w:r w:rsidRPr="00086DCB">
        <w:rPr>
          <w:rFonts w:ascii="Times New Roman" w:eastAsia="Times New Roman" w:hAnsi="Times New Roman" w:cs="Times New Roman"/>
          <w:sz w:val="24"/>
          <w:szCs w:val="24"/>
        </w:rPr>
        <w:t xml:space="preserve">, I., &amp; </w:t>
      </w:r>
      <w:proofErr w:type="spellStart"/>
      <w:r w:rsidRPr="00086DCB">
        <w:rPr>
          <w:rFonts w:ascii="Times New Roman" w:eastAsia="Times New Roman" w:hAnsi="Times New Roman" w:cs="Times New Roman"/>
          <w:sz w:val="24"/>
          <w:szCs w:val="24"/>
        </w:rPr>
        <w:t>Ciuti</w:t>
      </w:r>
      <w:proofErr w:type="spellEnd"/>
      <w:r w:rsidRPr="00086DCB">
        <w:rPr>
          <w:rFonts w:ascii="Times New Roman" w:eastAsia="Times New Roman" w:hAnsi="Times New Roman" w:cs="Times New Roman"/>
          <w:sz w:val="24"/>
          <w:szCs w:val="24"/>
        </w:rPr>
        <w:t xml:space="preserve">, C. (2013). Quantum fluids of light. </w:t>
      </w:r>
      <w:r w:rsidRPr="00086DCB">
        <w:rPr>
          <w:rFonts w:ascii="Times New Roman" w:eastAsia="Times New Roman" w:hAnsi="Times New Roman" w:cs="Times New Roman"/>
          <w:i/>
          <w:iCs/>
          <w:sz w:val="24"/>
          <w:szCs w:val="24"/>
        </w:rPr>
        <w:t>Reviews of Modern Physics, 85</w:t>
      </w:r>
      <w:r w:rsidRPr="00086DCB">
        <w:rPr>
          <w:rFonts w:ascii="Times New Roman" w:eastAsia="Times New Roman" w:hAnsi="Times New Roman" w:cs="Times New Roman"/>
          <w:sz w:val="24"/>
          <w:szCs w:val="24"/>
        </w:rPr>
        <w:t xml:space="preserve">(1), 299–366. </w:t>
      </w:r>
      <w:hyperlink r:id="rId11" w:tgtFrame="_new" w:history="1">
        <w:r w:rsidRPr="00086DCB">
          <w:rPr>
            <w:rFonts w:ascii="Times New Roman" w:eastAsia="Times New Roman" w:hAnsi="Times New Roman" w:cs="Times New Roman"/>
            <w:color w:val="0000FF"/>
            <w:sz w:val="24"/>
            <w:szCs w:val="24"/>
            <w:u w:val="single"/>
          </w:rPr>
          <w:t>https://doi.org/10.1103/RevModPhys.85.299</w:t>
        </w:r>
      </w:hyperlink>
    </w:p>
    <w:p w14:paraId="29374414"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lastRenderedPageBreak/>
        <w:t xml:space="preserve">Saleh, B. E. A., &amp; Teich, M. C. (2019). </w:t>
      </w:r>
      <w:r w:rsidRPr="00086DCB">
        <w:rPr>
          <w:rFonts w:ascii="Times New Roman" w:eastAsia="Times New Roman" w:hAnsi="Times New Roman" w:cs="Times New Roman"/>
          <w:i/>
          <w:iCs/>
          <w:sz w:val="24"/>
          <w:szCs w:val="24"/>
        </w:rPr>
        <w:t>Fundamentals of Photonics</w:t>
      </w:r>
      <w:r w:rsidRPr="00086DCB">
        <w:rPr>
          <w:rFonts w:ascii="Times New Roman" w:eastAsia="Times New Roman" w:hAnsi="Times New Roman" w:cs="Times New Roman"/>
          <w:sz w:val="24"/>
          <w:szCs w:val="24"/>
        </w:rPr>
        <w:t xml:space="preserve"> (3rd ed.). Wiley.</w:t>
      </w:r>
    </w:p>
    <w:p w14:paraId="483B73DB"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t xml:space="preserve">Bracewell, R. N. (2000). </w:t>
      </w:r>
      <w:r w:rsidRPr="00086DCB">
        <w:rPr>
          <w:rFonts w:ascii="Times New Roman" w:eastAsia="Times New Roman" w:hAnsi="Times New Roman" w:cs="Times New Roman"/>
          <w:i/>
          <w:iCs/>
          <w:sz w:val="24"/>
          <w:szCs w:val="24"/>
        </w:rPr>
        <w:t>The Fourier Transform and Its Applications</w:t>
      </w:r>
      <w:r w:rsidRPr="00086DCB">
        <w:rPr>
          <w:rFonts w:ascii="Times New Roman" w:eastAsia="Times New Roman" w:hAnsi="Times New Roman" w:cs="Times New Roman"/>
          <w:sz w:val="24"/>
          <w:szCs w:val="24"/>
        </w:rPr>
        <w:t xml:space="preserve"> (3rd ed.). McGraw-Hill.</w:t>
      </w:r>
    </w:p>
    <w:p w14:paraId="2BD86D91"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proofErr w:type="spellStart"/>
      <w:r w:rsidRPr="00086DCB">
        <w:rPr>
          <w:rFonts w:ascii="Times New Roman" w:eastAsia="Times New Roman" w:hAnsi="Times New Roman" w:cs="Times New Roman"/>
          <w:sz w:val="24"/>
          <w:szCs w:val="24"/>
        </w:rPr>
        <w:t>Arfken</w:t>
      </w:r>
      <w:proofErr w:type="spellEnd"/>
      <w:r w:rsidRPr="00086DCB">
        <w:rPr>
          <w:rFonts w:ascii="Times New Roman" w:eastAsia="Times New Roman" w:hAnsi="Times New Roman" w:cs="Times New Roman"/>
          <w:sz w:val="24"/>
          <w:szCs w:val="24"/>
        </w:rPr>
        <w:t xml:space="preserve">, G. B., Weber, H. J., &amp; Harris, F. E. (2013). </w:t>
      </w:r>
      <w:r w:rsidRPr="00086DCB">
        <w:rPr>
          <w:rFonts w:ascii="Times New Roman" w:eastAsia="Times New Roman" w:hAnsi="Times New Roman" w:cs="Times New Roman"/>
          <w:i/>
          <w:iCs/>
          <w:sz w:val="24"/>
          <w:szCs w:val="24"/>
        </w:rPr>
        <w:t>Mathematical Methods for Physicists</w:t>
      </w:r>
      <w:r w:rsidRPr="00086DCB">
        <w:rPr>
          <w:rFonts w:ascii="Times New Roman" w:eastAsia="Times New Roman" w:hAnsi="Times New Roman" w:cs="Times New Roman"/>
          <w:sz w:val="24"/>
          <w:szCs w:val="24"/>
        </w:rPr>
        <w:t xml:space="preserve"> (7th ed.). Academic Press.</w:t>
      </w:r>
    </w:p>
    <w:p w14:paraId="28F01D1B"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t xml:space="preserve">Needham, T. (1997). </w:t>
      </w:r>
      <w:r w:rsidRPr="00086DCB">
        <w:rPr>
          <w:rFonts w:ascii="Times New Roman" w:eastAsia="Times New Roman" w:hAnsi="Times New Roman" w:cs="Times New Roman"/>
          <w:i/>
          <w:iCs/>
          <w:sz w:val="24"/>
          <w:szCs w:val="24"/>
        </w:rPr>
        <w:t>Visual Complex Analysis</w:t>
      </w:r>
      <w:r w:rsidRPr="00086DCB">
        <w:rPr>
          <w:rFonts w:ascii="Times New Roman" w:eastAsia="Times New Roman" w:hAnsi="Times New Roman" w:cs="Times New Roman"/>
          <w:sz w:val="24"/>
          <w:szCs w:val="24"/>
        </w:rPr>
        <w:t>. Oxford University Press.</w:t>
      </w:r>
    </w:p>
    <w:p w14:paraId="1E996EF3"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t xml:space="preserve">Nakahara, M. (2003). </w:t>
      </w:r>
      <w:r w:rsidRPr="00086DCB">
        <w:rPr>
          <w:rFonts w:ascii="Times New Roman" w:eastAsia="Times New Roman" w:hAnsi="Times New Roman" w:cs="Times New Roman"/>
          <w:i/>
          <w:iCs/>
          <w:sz w:val="24"/>
          <w:szCs w:val="24"/>
        </w:rPr>
        <w:t>Geometry, Topology and Physics</w:t>
      </w:r>
      <w:r w:rsidRPr="00086DCB">
        <w:rPr>
          <w:rFonts w:ascii="Times New Roman" w:eastAsia="Times New Roman" w:hAnsi="Times New Roman" w:cs="Times New Roman"/>
          <w:sz w:val="24"/>
          <w:szCs w:val="24"/>
        </w:rPr>
        <w:t xml:space="preserve"> (2nd ed.). CRC Press.</w:t>
      </w:r>
    </w:p>
    <w:p w14:paraId="7F422775"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t xml:space="preserve">Frankel, T. (2011). </w:t>
      </w:r>
      <w:r w:rsidRPr="00086DCB">
        <w:rPr>
          <w:rFonts w:ascii="Times New Roman" w:eastAsia="Times New Roman" w:hAnsi="Times New Roman" w:cs="Times New Roman"/>
          <w:i/>
          <w:iCs/>
          <w:sz w:val="24"/>
          <w:szCs w:val="24"/>
        </w:rPr>
        <w:t>The Geometry of Physics: An Introduction</w:t>
      </w:r>
      <w:r w:rsidRPr="00086DCB">
        <w:rPr>
          <w:rFonts w:ascii="Times New Roman" w:eastAsia="Times New Roman" w:hAnsi="Times New Roman" w:cs="Times New Roman"/>
          <w:sz w:val="24"/>
          <w:szCs w:val="24"/>
        </w:rPr>
        <w:t xml:space="preserve"> (3rd ed.). Cambridge University Press.</w:t>
      </w:r>
    </w:p>
    <w:p w14:paraId="27F0A2C6"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t xml:space="preserve">Klein, F. (1882). </w:t>
      </w:r>
      <w:proofErr w:type="spellStart"/>
      <w:r w:rsidRPr="00086DCB">
        <w:rPr>
          <w:rFonts w:ascii="Times New Roman" w:eastAsia="Times New Roman" w:hAnsi="Times New Roman" w:cs="Times New Roman"/>
          <w:sz w:val="24"/>
          <w:szCs w:val="24"/>
        </w:rPr>
        <w:t>Über</w:t>
      </w:r>
      <w:proofErr w:type="spellEnd"/>
      <w:r w:rsidRPr="00086DCB">
        <w:rPr>
          <w:rFonts w:ascii="Times New Roman" w:eastAsia="Times New Roman" w:hAnsi="Times New Roman" w:cs="Times New Roman"/>
          <w:sz w:val="24"/>
          <w:szCs w:val="24"/>
        </w:rPr>
        <w:t xml:space="preserve"> Riemann's </w:t>
      </w:r>
      <w:proofErr w:type="spellStart"/>
      <w:r w:rsidRPr="00086DCB">
        <w:rPr>
          <w:rFonts w:ascii="Times New Roman" w:eastAsia="Times New Roman" w:hAnsi="Times New Roman" w:cs="Times New Roman"/>
          <w:sz w:val="24"/>
          <w:szCs w:val="24"/>
        </w:rPr>
        <w:t>Theorie</w:t>
      </w:r>
      <w:proofErr w:type="spellEnd"/>
      <w:r w:rsidRPr="00086DCB">
        <w:rPr>
          <w:rFonts w:ascii="Times New Roman" w:eastAsia="Times New Roman" w:hAnsi="Times New Roman" w:cs="Times New Roman"/>
          <w:sz w:val="24"/>
          <w:szCs w:val="24"/>
        </w:rPr>
        <w:t xml:space="preserve"> der </w:t>
      </w:r>
      <w:proofErr w:type="spellStart"/>
      <w:r w:rsidRPr="00086DCB">
        <w:rPr>
          <w:rFonts w:ascii="Times New Roman" w:eastAsia="Times New Roman" w:hAnsi="Times New Roman" w:cs="Times New Roman"/>
          <w:sz w:val="24"/>
          <w:szCs w:val="24"/>
        </w:rPr>
        <w:t>algebraischen</w:t>
      </w:r>
      <w:proofErr w:type="spellEnd"/>
      <w:r w:rsidRPr="00086DCB">
        <w:rPr>
          <w:rFonts w:ascii="Times New Roman" w:eastAsia="Times New Roman" w:hAnsi="Times New Roman" w:cs="Times New Roman"/>
          <w:sz w:val="24"/>
          <w:szCs w:val="24"/>
        </w:rPr>
        <w:t xml:space="preserve"> </w:t>
      </w:r>
      <w:proofErr w:type="spellStart"/>
      <w:r w:rsidRPr="00086DCB">
        <w:rPr>
          <w:rFonts w:ascii="Times New Roman" w:eastAsia="Times New Roman" w:hAnsi="Times New Roman" w:cs="Times New Roman"/>
          <w:sz w:val="24"/>
          <w:szCs w:val="24"/>
        </w:rPr>
        <w:t>Funktionen</w:t>
      </w:r>
      <w:proofErr w:type="spellEnd"/>
      <w:r w:rsidRPr="00086DCB">
        <w:rPr>
          <w:rFonts w:ascii="Times New Roman" w:eastAsia="Times New Roman" w:hAnsi="Times New Roman" w:cs="Times New Roman"/>
          <w:sz w:val="24"/>
          <w:szCs w:val="24"/>
        </w:rPr>
        <w:t xml:space="preserve"> und </w:t>
      </w:r>
      <w:proofErr w:type="spellStart"/>
      <w:r w:rsidRPr="00086DCB">
        <w:rPr>
          <w:rFonts w:ascii="Times New Roman" w:eastAsia="Times New Roman" w:hAnsi="Times New Roman" w:cs="Times New Roman"/>
          <w:sz w:val="24"/>
          <w:szCs w:val="24"/>
        </w:rPr>
        <w:t>ihrer</w:t>
      </w:r>
      <w:proofErr w:type="spellEnd"/>
      <w:r w:rsidRPr="00086DCB">
        <w:rPr>
          <w:rFonts w:ascii="Times New Roman" w:eastAsia="Times New Roman" w:hAnsi="Times New Roman" w:cs="Times New Roman"/>
          <w:sz w:val="24"/>
          <w:szCs w:val="24"/>
        </w:rPr>
        <w:t xml:space="preserve"> </w:t>
      </w:r>
      <w:proofErr w:type="spellStart"/>
      <w:r w:rsidRPr="00086DCB">
        <w:rPr>
          <w:rFonts w:ascii="Times New Roman" w:eastAsia="Times New Roman" w:hAnsi="Times New Roman" w:cs="Times New Roman"/>
          <w:sz w:val="24"/>
          <w:szCs w:val="24"/>
        </w:rPr>
        <w:t>Integrale</w:t>
      </w:r>
      <w:proofErr w:type="spellEnd"/>
      <w:r w:rsidRPr="00086DCB">
        <w:rPr>
          <w:rFonts w:ascii="Times New Roman" w:eastAsia="Times New Roman" w:hAnsi="Times New Roman" w:cs="Times New Roman"/>
          <w:sz w:val="24"/>
          <w:szCs w:val="24"/>
        </w:rPr>
        <w:t xml:space="preserve">. </w:t>
      </w:r>
      <w:r w:rsidRPr="00086DCB">
        <w:rPr>
          <w:rFonts w:ascii="Times New Roman" w:eastAsia="Times New Roman" w:hAnsi="Times New Roman" w:cs="Times New Roman"/>
          <w:i/>
          <w:iCs/>
          <w:sz w:val="24"/>
          <w:szCs w:val="24"/>
        </w:rPr>
        <w:t>Teubner</w:t>
      </w:r>
      <w:r w:rsidRPr="00086DCB">
        <w:rPr>
          <w:rFonts w:ascii="Times New Roman" w:eastAsia="Times New Roman" w:hAnsi="Times New Roman" w:cs="Times New Roman"/>
          <w:sz w:val="24"/>
          <w:szCs w:val="24"/>
        </w:rPr>
        <w:t>.</w:t>
      </w:r>
    </w:p>
    <w:p w14:paraId="55A155BA"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t xml:space="preserve">Ashby, N. (2003). Relativity in the Global Positioning System. </w:t>
      </w:r>
      <w:r w:rsidRPr="00086DCB">
        <w:rPr>
          <w:rFonts w:ascii="Times New Roman" w:eastAsia="Times New Roman" w:hAnsi="Times New Roman" w:cs="Times New Roman"/>
          <w:i/>
          <w:iCs/>
          <w:sz w:val="24"/>
          <w:szCs w:val="24"/>
        </w:rPr>
        <w:t>Living Reviews in Relativity, 6</w:t>
      </w:r>
      <w:r w:rsidRPr="00086DCB">
        <w:rPr>
          <w:rFonts w:ascii="Times New Roman" w:eastAsia="Times New Roman" w:hAnsi="Times New Roman" w:cs="Times New Roman"/>
          <w:sz w:val="24"/>
          <w:szCs w:val="24"/>
        </w:rPr>
        <w:t xml:space="preserve">(1). </w:t>
      </w:r>
      <w:hyperlink r:id="rId12" w:tgtFrame="_new" w:history="1">
        <w:r w:rsidRPr="00086DCB">
          <w:rPr>
            <w:rFonts w:ascii="Times New Roman" w:eastAsia="Times New Roman" w:hAnsi="Times New Roman" w:cs="Times New Roman"/>
            <w:color w:val="0000FF"/>
            <w:sz w:val="24"/>
            <w:szCs w:val="24"/>
            <w:u w:val="single"/>
          </w:rPr>
          <w:t>https://doi.org/10.12942/lrr-2003-1</w:t>
        </w:r>
      </w:hyperlink>
    </w:p>
    <w:p w14:paraId="2962AB92"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t xml:space="preserve">Allan, D. W., Ashby, N., &amp; Hodge, C. C. (1997). The science of timekeeping. </w:t>
      </w:r>
      <w:r w:rsidRPr="00086DCB">
        <w:rPr>
          <w:rFonts w:ascii="Times New Roman" w:eastAsia="Times New Roman" w:hAnsi="Times New Roman" w:cs="Times New Roman"/>
          <w:i/>
          <w:iCs/>
          <w:sz w:val="24"/>
          <w:szCs w:val="24"/>
        </w:rPr>
        <w:t>Hewlett-Packard Application Note 1289</w:t>
      </w:r>
      <w:r w:rsidRPr="00086DCB">
        <w:rPr>
          <w:rFonts w:ascii="Times New Roman" w:eastAsia="Times New Roman" w:hAnsi="Times New Roman" w:cs="Times New Roman"/>
          <w:sz w:val="24"/>
          <w:szCs w:val="24"/>
        </w:rPr>
        <w:t>.</w:t>
      </w:r>
    </w:p>
    <w:p w14:paraId="495CC233"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t xml:space="preserve">International Bureau of Weights and Measures (BIPM). (2019). </w:t>
      </w:r>
      <w:r w:rsidRPr="00086DCB">
        <w:rPr>
          <w:rFonts w:ascii="Times New Roman" w:eastAsia="Times New Roman" w:hAnsi="Times New Roman" w:cs="Times New Roman"/>
          <w:i/>
          <w:iCs/>
          <w:sz w:val="24"/>
          <w:szCs w:val="24"/>
        </w:rPr>
        <w:t>The International System of Units (SI)</w:t>
      </w:r>
      <w:r w:rsidRPr="00086DCB">
        <w:rPr>
          <w:rFonts w:ascii="Times New Roman" w:eastAsia="Times New Roman" w:hAnsi="Times New Roman" w:cs="Times New Roman"/>
          <w:sz w:val="24"/>
          <w:szCs w:val="24"/>
        </w:rPr>
        <w:t xml:space="preserve"> (9th ed.).</w:t>
      </w:r>
    </w:p>
    <w:p w14:paraId="06930748" w14:textId="77777777" w:rsidR="00086DCB" w:rsidRPr="00086DCB" w:rsidRDefault="00086DCB" w:rsidP="00086DCB">
      <w:pPr>
        <w:spacing w:before="100" w:beforeAutospacing="1" w:after="100" w:afterAutospacing="1" w:line="240" w:lineRule="auto"/>
        <w:rPr>
          <w:rFonts w:ascii="Times New Roman" w:eastAsia="Times New Roman" w:hAnsi="Times New Roman" w:cs="Times New Roman"/>
          <w:sz w:val="24"/>
          <w:szCs w:val="24"/>
        </w:rPr>
      </w:pPr>
      <w:r w:rsidRPr="00086DCB">
        <w:rPr>
          <w:rFonts w:ascii="Times New Roman" w:eastAsia="Times New Roman" w:hAnsi="Times New Roman" w:cs="Times New Roman"/>
          <w:sz w:val="24"/>
          <w:szCs w:val="24"/>
        </w:rPr>
        <w:t xml:space="preserve">Taylor, E. F., &amp; Wheeler, J. A. (1992). </w:t>
      </w:r>
      <w:r w:rsidRPr="00086DCB">
        <w:rPr>
          <w:rFonts w:ascii="Times New Roman" w:eastAsia="Times New Roman" w:hAnsi="Times New Roman" w:cs="Times New Roman"/>
          <w:i/>
          <w:iCs/>
          <w:sz w:val="24"/>
          <w:szCs w:val="24"/>
        </w:rPr>
        <w:t>Spacetime Physics</w:t>
      </w:r>
      <w:r w:rsidRPr="00086DCB">
        <w:rPr>
          <w:rFonts w:ascii="Times New Roman" w:eastAsia="Times New Roman" w:hAnsi="Times New Roman" w:cs="Times New Roman"/>
          <w:sz w:val="24"/>
          <w:szCs w:val="24"/>
        </w:rPr>
        <w:t xml:space="preserve"> (2nd ed.). W. H. Freeman.</w:t>
      </w:r>
    </w:p>
    <w:p w14:paraId="655B5B9D" w14:textId="6075D034" w:rsidR="00A671B0" w:rsidRDefault="00A671B0"/>
    <w:sectPr w:rsidR="00A671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147B4"/>
    <w:multiLevelType w:val="multilevel"/>
    <w:tmpl w:val="0286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F37B4"/>
    <w:multiLevelType w:val="multilevel"/>
    <w:tmpl w:val="49C2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370BD"/>
    <w:multiLevelType w:val="multilevel"/>
    <w:tmpl w:val="C4C6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B732D"/>
    <w:multiLevelType w:val="multilevel"/>
    <w:tmpl w:val="A33A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93715D"/>
    <w:multiLevelType w:val="multilevel"/>
    <w:tmpl w:val="9088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0C6CA8"/>
    <w:multiLevelType w:val="multilevel"/>
    <w:tmpl w:val="8A30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9A6A95"/>
    <w:multiLevelType w:val="multilevel"/>
    <w:tmpl w:val="30A0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756878">
    <w:abstractNumId w:val="8"/>
  </w:num>
  <w:num w:numId="2" w16cid:durableId="1189759013">
    <w:abstractNumId w:val="6"/>
  </w:num>
  <w:num w:numId="3" w16cid:durableId="470438670">
    <w:abstractNumId w:val="5"/>
  </w:num>
  <w:num w:numId="4" w16cid:durableId="860438740">
    <w:abstractNumId w:val="4"/>
  </w:num>
  <w:num w:numId="5" w16cid:durableId="1968005315">
    <w:abstractNumId w:val="7"/>
  </w:num>
  <w:num w:numId="6" w16cid:durableId="371266973">
    <w:abstractNumId w:val="3"/>
  </w:num>
  <w:num w:numId="7" w16cid:durableId="926233288">
    <w:abstractNumId w:val="2"/>
  </w:num>
  <w:num w:numId="8" w16cid:durableId="764495072">
    <w:abstractNumId w:val="1"/>
  </w:num>
  <w:num w:numId="9" w16cid:durableId="1645550147">
    <w:abstractNumId w:val="0"/>
  </w:num>
  <w:num w:numId="10" w16cid:durableId="457186345">
    <w:abstractNumId w:val="13"/>
  </w:num>
  <w:num w:numId="11" w16cid:durableId="171342403">
    <w:abstractNumId w:val="15"/>
  </w:num>
  <w:num w:numId="12" w16cid:durableId="2080057292">
    <w:abstractNumId w:val="12"/>
  </w:num>
  <w:num w:numId="13" w16cid:durableId="1190988988">
    <w:abstractNumId w:val="10"/>
  </w:num>
  <w:num w:numId="14" w16cid:durableId="1397977475">
    <w:abstractNumId w:val="9"/>
  </w:num>
  <w:num w:numId="15" w16cid:durableId="545873307">
    <w:abstractNumId w:val="14"/>
  </w:num>
  <w:num w:numId="16" w16cid:durableId="20330248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DCB"/>
    <w:rsid w:val="0015074B"/>
    <w:rsid w:val="0029639D"/>
    <w:rsid w:val="00326F90"/>
    <w:rsid w:val="00A671B0"/>
    <w:rsid w:val="00AA1D8D"/>
    <w:rsid w:val="00B47730"/>
    <w:rsid w:val="00C00C4D"/>
    <w:rsid w:val="00CB0664"/>
    <w:rsid w:val="00D51B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6093F"/>
  <w14:defaultImageDpi w14:val="300"/>
  <w15:docId w15:val="{64514675-4BC9-4E08-945D-E14D4488C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doi.org/10.12942/lrr-2003-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oi.org/10.1103/RevModPhys.85.299" TargetMode="External"/><Relationship Id="rId5" Type="http://schemas.openxmlformats.org/officeDocument/2006/relationships/webSettings" Target="webSettings.xml"/><Relationship Id="rId10" Type="http://schemas.openxmlformats.org/officeDocument/2006/relationships/hyperlink" Target="https://doi.org/10.1088/0264-9381/11/5/001"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1268</Words>
  <Characters>8133</Characters>
  <Application>Microsoft Office Word</Application>
  <DocSecurity>0</DocSecurity>
  <Lines>135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2026-04-12T16:28:00Z</dcterms:modified>
  <cp:category/>
</cp:coreProperties>
</file>