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D9AE" w14:textId="400913A0" w:rsidR="002B56B6" w:rsidRPr="002B56B6" w:rsidRDefault="002B56B6" w:rsidP="002B5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5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Trans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</w:t>
      </w:r>
      <w:r w:rsidRPr="002B5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warp Beaming and CST Navigation Stability</w:t>
      </w:r>
    </w:p>
    <w:p w14:paraId="0C1894CC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A Time-Synchronized Control Framework for Warp Tunnel Efficiency</w:t>
      </w:r>
    </w:p>
    <w:p w14:paraId="7719AC1E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Abstract</w:t>
      </w:r>
    </w:p>
    <w:p w14:paraId="2EECF362" w14:textId="7EECDF0B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work proposes a control-theoretic extension to relativistic warp-drive models by introducing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atomic time–anchored Curvature Synchronization Theory (CST)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as a governing mechanism for stability. Building Alcubierre-type metrics, we incorporate spatial volume transport, tunnel utilization efficiency, and clock synchronization into a unified state-space formulation. The model treats time not as a passive coordinate but as an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active control variable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, referenced to atomic time standards (Cs-133), enabling measurable deviations and testable predictions. Stability conditions are derived in terms of geometric efficiency and temporal coherence, providing a falsifiable framework for warp corridor navigation.</w:t>
      </w:r>
    </w:p>
    <w:p w14:paraId="1F594B8D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14:paraId="3FB42E39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General Relativity describes spacetime curvature through the Einstein Field Equations, enabling theoretical constructs such as warp metrics that allow effective superluminal travel without violating local light-speed constraints. However, existing models lack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operational control variables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 synchronization frameworks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5E1DEA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This paper introduces:</w:t>
      </w:r>
    </w:p>
    <w:p w14:paraId="7BAE98B5" w14:textId="77777777" w:rsidR="002B56B6" w:rsidRPr="002B56B6" w:rsidRDefault="002B56B6" w:rsidP="002B5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space-volume transport term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55DF3" w14:textId="6F1ACF3E" w:rsidR="002B56B6" w:rsidRPr="002B56B6" w:rsidRDefault="002B56B6" w:rsidP="002B5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tunnel utilization efficient metric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921967" w14:textId="77777777" w:rsidR="002B56B6" w:rsidRPr="002B56B6" w:rsidRDefault="002B56B6" w:rsidP="002B56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CST-based timing control system anchored to atomic clocks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E5746F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The goal is not to claim feasibility, but to provide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testable, engineering-oriented structure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8B0B55E" w14:textId="728D70FC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C52471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717EEA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ACEF6D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C79CB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289B51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A174FD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7B19D1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6F2205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AB87A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Relativistic Foundation</w:t>
      </w:r>
    </w:p>
    <w:p w14:paraId="77F41EA5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We begin with the Einstein Field Equations:</w:t>
      </w:r>
    </w:p>
    <w:p w14:paraId="6B48A9BB" w14:textId="77777777" w:rsidR="002B56B6" w:rsidRPr="002B56B6" w:rsidRDefault="00000000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Λ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8πG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sup>
              </m:sSup>
            </m:den>
          </m:f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DA46CA2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The Alcubierre metric provides a warp geometry:</w:t>
      </w:r>
    </w:p>
    <w:p w14:paraId="07E86CE1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=-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+(dx-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(t)f(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)dt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+d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+d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z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AA5A809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f(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>defines the warp bubble shape.</w:t>
      </w:r>
    </w:p>
    <w:p w14:paraId="0067FEEF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3. Atomic Time as a Physical Reference</w:t>
      </w:r>
    </w:p>
    <w:p w14:paraId="30ABC9C7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To eliminate ambiguity in time coordination, we define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clock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689E8D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CST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ship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atomic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D97657B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Atomic time is defined via Cs-133 transitions:</w:t>
      </w:r>
    </w:p>
    <w:p w14:paraId="441D0CDB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atomic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9,192,631,770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sz w:val="24"/>
                  <w:szCs w:val="24"/>
                </w:rPr>
                <m:t xml:space="preserve"> cycles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Cs-133</m:t>
                  </m:r>
                </m:sub>
              </m:sSub>
            </m:den>
          </m:f>
        </m:oMath>
      </m:oMathPara>
    </w:p>
    <w:p w14:paraId="2982F9FD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provides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 baseline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for synchronization across the warp structure.</w:t>
      </w:r>
    </w:p>
    <w:p w14:paraId="12099F89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4. Space Volume Transport</w:t>
      </w:r>
    </w:p>
    <w:p w14:paraId="1639FC4D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We define the transported spatial volume:</w:t>
      </w:r>
    </w:p>
    <w:p w14:paraId="4990CBEC" w14:textId="77777777" w:rsidR="002B56B6" w:rsidRPr="002B56B6" w:rsidRDefault="00000000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bubble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(t)=∫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det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)</m:t>
              </m:r>
            </m:e>
          </m:rad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 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2EBEE2E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and introduce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space-mass equivalent term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1D458F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S(t)=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ρ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space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⋅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bubble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E02598A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term links geometry to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energy requirements and stability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AF8862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Warp Tunnel Efficiency</w:t>
      </w:r>
    </w:p>
    <w:p w14:paraId="290FE9A6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Let:</w:t>
      </w:r>
    </w:p>
    <w:p w14:paraId="62835B2C" w14:textId="77777777" w:rsidR="002B56B6" w:rsidRPr="002B56B6" w:rsidRDefault="002B56B6" w:rsidP="002B5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R(t)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: tunnel radius </w:t>
      </w:r>
    </w:p>
    <w:p w14:paraId="644D86F7" w14:textId="77777777" w:rsidR="002B56B6" w:rsidRPr="002B56B6" w:rsidRDefault="00000000" w:rsidP="002B56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  <w:r w:rsidR="002B56B6" w:rsidRPr="002B56B6">
        <w:rPr>
          <w:rFonts w:ascii="Times New Roman" w:eastAsia="Times New Roman" w:hAnsi="Times New Roman" w:cs="Times New Roman"/>
          <w:sz w:val="24"/>
          <w:szCs w:val="24"/>
        </w:rPr>
        <w:t xml:space="preserve">: bubble radius </w:t>
      </w:r>
    </w:p>
    <w:p w14:paraId="0D3FA5B9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Efficiency is defined as:</w:t>
      </w:r>
    </w:p>
    <w:p w14:paraId="5DC56493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η(t)=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bubble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tunnel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14:paraId="78B04858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Stability requires:</w:t>
      </w:r>
    </w:p>
    <w:p w14:paraId="1DD45C38" w14:textId="77777777" w:rsidR="002B56B6" w:rsidRPr="002B56B6" w:rsidRDefault="00000000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dη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→0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6E29ABF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defines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constant curvature utilization regime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D8A94D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6. CST Path Synchronization</w:t>
      </w:r>
    </w:p>
    <w:p w14:paraId="0EE3BCD4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The effective path length inside curved spacetime is:</w:t>
      </w:r>
    </w:p>
    <w:p w14:paraId="51CFB9ED" w14:textId="77777777" w:rsidR="002B56B6" w:rsidRPr="002B56B6" w:rsidRDefault="00000000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path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(t)=∫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291C99AF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CST timing becomes:</w:t>
      </w:r>
    </w:p>
    <w:p w14:paraId="49408738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CST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eff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(t)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∫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</m:e>
          </m:rad>
        </m:oMath>
      </m:oMathPara>
    </w:p>
    <w:p w14:paraId="4B905578" w14:textId="536CD45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links geometry directly to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measurable time delays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2BCC89" w14:textId="111ADDDB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C7D60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3E7189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5A2EC2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A70C7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A2B38D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334CA4" w14:textId="77777777" w:rsid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6AFB55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528BD8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Unified Control System</w:t>
      </w:r>
    </w:p>
    <w:p w14:paraId="2BCBC2D9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Define the system state:</w:t>
      </w:r>
    </w:p>
    <w:p w14:paraId="42FECF74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Ω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(t)=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x(t)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ship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(t)</m:t>
                  </m:r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bubble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(t)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η(t)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Δ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CST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(t)</m:t>
                  </m:r>
                </m:e>
              </m:eqAr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4698010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Dynamics:</w:t>
      </w:r>
    </w:p>
    <w:p w14:paraId="1E62C75F" w14:textId="77777777" w:rsidR="002B56B6" w:rsidRPr="002B56B6" w:rsidRDefault="00000000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Ω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=F(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Ω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,u(t),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atomic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4E874E05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Control inputs:</w:t>
      </w:r>
    </w:p>
    <w:p w14:paraId="37C8ECBC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u(t)=[E(t),B(t),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shape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CST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(t)]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22EB6BF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converts the warp model into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control system problem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CF1F9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8. Stability Conditions</w:t>
      </w:r>
    </w:p>
    <w:p w14:paraId="0A4BBF78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The system remains stable when:</w:t>
      </w:r>
    </w:p>
    <w:p w14:paraId="16FD0230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dη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&lt;ϵ,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bubble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/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dt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,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CST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∣</m:t>
          </m:r>
          <m:r>
            <w:rPr>
              <w:rFonts w:ascii="Cambria Math" w:eastAsia="Times New Roman" w:hAnsi="Cambria Math" w:cs="Times New Roman"/>
              <w:sz w:val="24"/>
              <w:szCs w:val="24"/>
            </w:rPr>
            <m:t>&lt;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ϵ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0349A9A2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These constraints define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phase-locked warp corridor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E03AF9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9. Energy Constraints</w:t>
      </w:r>
    </w:p>
    <w:p w14:paraId="35430A2C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Warp energy requirements scale with stress-energy:</w:t>
      </w:r>
    </w:p>
    <w:p w14:paraId="67E9F7CD" w14:textId="77777777" w:rsidR="002B56B6" w:rsidRPr="002B56B6" w:rsidRDefault="00000000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warp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∝∫</m:t>
          </m:r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μν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exotic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</w:rPr>
            <m:t>dV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15D45332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ensures the model remains tied to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known physics limitations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89D8C" w14:textId="77777777" w:rsid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5DF592B" w14:textId="2B4B0F59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Falsifiable Predictions</w:t>
      </w:r>
    </w:p>
    <w:p w14:paraId="246CA123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This framework yields measurable outcomes:</w:t>
      </w:r>
    </w:p>
    <w:p w14:paraId="766E7F5F" w14:textId="77777777" w:rsidR="002B56B6" w:rsidRPr="002B56B6" w:rsidRDefault="002B56B6" w:rsidP="002B5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Clock Drift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br/>
        <w:t xml:space="preserve">Variations in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η(t)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produce detectable atomic time deviations. </w:t>
      </w:r>
    </w:p>
    <w:p w14:paraId="0819608B" w14:textId="77777777" w:rsidR="002B56B6" w:rsidRPr="002B56B6" w:rsidRDefault="002B56B6" w:rsidP="002B5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Path Length Deviation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br/>
        <w:t xml:space="preserve">Effective travel time differs from Euclidean prediction. </w:t>
      </w:r>
    </w:p>
    <w:p w14:paraId="50995FE1" w14:textId="77777777" w:rsidR="002B56B6" w:rsidRPr="002B56B6" w:rsidRDefault="002B56B6" w:rsidP="002B56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Instability Threshold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br/>
        <w:t xml:space="preserve">Rapid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bubble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/</m:t>
        </m:r>
        <m:r>
          <w:rPr>
            <w:rFonts w:ascii="Cambria Math" w:eastAsia="Times New Roman" w:hAnsi="Cambria Math" w:cs="Times New Roman"/>
            <w:sz w:val="24"/>
            <w:szCs w:val="24"/>
          </w:rPr>
          <m:t>dt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leads to synchronization breakdown. </w:t>
      </w:r>
    </w:p>
    <w:p w14:paraId="4A1C5830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11. Figure Specification (Publication Upgrade)</w:t>
      </w:r>
    </w:p>
    <w:p w14:paraId="3C6FF591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Figure 1 — Warp Tunnel Geometry</w:t>
      </w:r>
    </w:p>
    <w:p w14:paraId="2E2C8422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Create a clean vector diagram with:</w:t>
      </w:r>
    </w:p>
    <w:p w14:paraId="7CD5D8A0" w14:textId="77777777" w:rsidR="002B56B6" w:rsidRPr="002B56B6" w:rsidRDefault="002B56B6" w:rsidP="002B5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Outer dashed circle →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(warp tunnel boundary) </w:t>
      </w:r>
    </w:p>
    <w:p w14:paraId="32E46EE2" w14:textId="77777777" w:rsidR="002B56B6" w:rsidRPr="002B56B6" w:rsidRDefault="002B56B6" w:rsidP="002B5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Inner solid disk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(warp bubble) </w:t>
      </w:r>
    </w:p>
    <w:p w14:paraId="007E9837" w14:textId="77777777" w:rsidR="002B56B6" w:rsidRPr="002B56B6" w:rsidRDefault="002B56B6" w:rsidP="002B5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Shaded gap → “unused curvature / energy loss” </w:t>
      </w:r>
    </w:p>
    <w:p w14:paraId="13A22DBB" w14:textId="77777777" w:rsidR="002B56B6" w:rsidRPr="002B56B6" w:rsidRDefault="002B56B6" w:rsidP="002B56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Arrow labels: </w:t>
      </w:r>
    </w:p>
    <w:p w14:paraId="4FC117CE" w14:textId="77777777" w:rsidR="002B56B6" w:rsidRPr="002B56B6" w:rsidRDefault="00000000" w:rsidP="002B56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bubble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</w:p>
    <w:p w14:paraId="3DBB1A02" w14:textId="77777777" w:rsidR="002B56B6" w:rsidRPr="002B56B6" w:rsidRDefault="002B56B6" w:rsidP="002B56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η(t)</m:t>
        </m:r>
      </m:oMath>
    </w:p>
    <w:p w14:paraId="4DE18A8E" w14:textId="77777777" w:rsidR="002B56B6" w:rsidRPr="002B56B6" w:rsidRDefault="002B56B6" w:rsidP="002B56B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CST</m:t>
            </m:r>
          </m:sub>
        </m:sSub>
      </m:oMath>
    </w:p>
    <w:p w14:paraId="608D3C88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Add caption:</w:t>
      </w:r>
    </w:p>
    <w:p w14:paraId="25580A2B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“Warp tunnel cross-section showing utilization efficiency and CST synchronization path. Stability requires constant area ratio and minimal temporal deviation.”</w:t>
      </w:r>
    </w:p>
    <w:p w14:paraId="1506E214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12. Discussion</w:t>
      </w:r>
    </w:p>
    <w:p w14:paraId="441BCFBD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The key contribution is reframing warp travel as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time-coherent control system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, where:</w:t>
      </w:r>
    </w:p>
    <w:p w14:paraId="79FD6185" w14:textId="77777777" w:rsidR="002B56B6" w:rsidRPr="002B56B6" w:rsidRDefault="002B56B6" w:rsidP="002B5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Geometry defines possible motion </w:t>
      </w:r>
    </w:p>
    <w:p w14:paraId="08931FAF" w14:textId="77777777" w:rsidR="002B56B6" w:rsidRPr="002B56B6" w:rsidRDefault="002B56B6" w:rsidP="002B5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Time synchronization defines stability </w:t>
      </w:r>
    </w:p>
    <w:p w14:paraId="0F333380" w14:textId="77777777" w:rsidR="002B56B6" w:rsidRPr="002B56B6" w:rsidRDefault="002B56B6" w:rsidP="002B56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Efficiency defines energy cost </w:t>
      </w:r>
    </w:p>
    <w:p w14:paraId="3A4B6E72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CST acts as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phase-locking mechanism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across spacetime curvature.</w:t>
      </w:r>
    </w:p>
    <w:p w14:paraId="570474D9" w14:textId="77777777" w:rsid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13F950E" w14:textId="77777777" w:rsid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24BD2E" w14:textId="6103938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Conclusion</w:t>
      </w:r>
    </w:p>
    <w:p w14:paraId="127A7770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This paper introduces a structured, testable framework combining:</w:t>
      </w:r>
    </w:p>
    <w:p w14:paraId="7F44C28C" w14:textId="77777777" w:rsidR="002B56B6" w:rsidRPr="002B56B6" w:rsidRDefault="002B56B6" w:rsidP="002B5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General Relativity </w:t>
      </w:r>
    </w:p>
    <w:p w14:paraId="0BE88447" w14:textId="77777777" w:rsidR="002B56B6" w:rsidRPr="002B56B6" w:rsidRDefault="002B56B6" w:rsidP="002B5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Warp geometry </w:t>
      </w:r>
    </w:p>
    <w:p w14:paraId="72273E61" w14:textId="77777777" w:rsidR="002B56B6" w:rsidRPr="002B56B6" w:rsidRDefault="002B56B6" w:rsidP="002B5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Atomic time synchronization </w:t>
      </w:r>
    </w:p>
    <w:p w14:paraId="6690FDFB" w14:textId="77777777" w:rsidR="002B56B6" w:rsidRPr="002B56B6" w:rsidRDefault="002B56B6" w:rsidP="002B56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Control system dynamics </w:t>
      </w:r>
    </w:p>
    <w:p w14:paraId="636C7201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While remaining theoretical, the model provides a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clear path toward falsification and simulation-based testing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DA559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References</w:t>
      </w:r>
    </w:p>
    <w:p w14:paraId="76CCFC61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Alcubierre, M. (1994). </w:t>
      </w:r>
      <w:r w:rsidRPr="002B56B6">
        <w:rPr>
          <w:rFonts w:ascii="Times New Roman" w:eastAsia="Times New Roman" w:hAnsi="Times New Roman" w:cs="Times New Roman"/>
          <w:i/>
          <w:iCs/>
          <w:sz w:val="24"/>
          <w:szCs w:val="24"/>
        </w:rPr>
        <w:t>The warp drive: hyper-fast travel within general relativity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 Classical and Quantum Gravity.</w:t>
      </w:r>
    </w:p>
    <w:p w14:paraId="30FB0628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Einstein, A. (1915). </w:t>
      </w:r>
      <w:r w:rsidRPr="002B56B6">
        <w:rPr>
          <w:rFonts w:ascii="Times New Roman" w:eastAsia="Times New Roman" w:hAnsi="Times New Roman" w:cs="Times New Roman"/>
          <w:i/>
          <w:iCs/>
          <w:sz w:val="24"/>
          <w:szCs w:val="24"/>
        </w:rPr>
        <w:t>The Field Equations of Gravitation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27FC2F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Misner, C. W., Thorne, K. S., Wheeler, J. A. (1973). </w:t>
      </w:r>
      <w:r w:rsidRPr="002B56B6">
        <w:rPr>
          <w:rFonts w:ascii="Times New Roman" w:eastAsia="Times New Roman" w:hAnsi="Times New Roman" w:cs="Times New Roman"/>
          <w:i/>
          <w:iCs/>
          <w:sz w:val="24"/>
          <w:szCs w:val="24"/>
        </w:rPr>
        <w:t>Gravitation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24DC5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Ashby, N. (2003). </w:t>
      </w:r>
      <w:r w:rsidRPr="002B56B6">
        <w:rPr>
          <w:rFonts w:ascii="Times New Roman" w:eastAsia="Times New Roman" w:hAnsi="Times New Roman" w:cs="Times New Roman"/>
          <w:i/>
          <w:iCs/>
          <w:sz w:val="24"/>
          <w:szCs w:val="24"/>
        </w:rPr>
        <w:t>Relativity in the Global Positioning System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 Living Reviews in Relativity.</w:t>
      </w:r>
    </w:p>
    <w:p w14:paraId="396E6F56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Ludlow, A. D., et al. (2015). </w:t>
      </w:r>
      <w:r w:rsidRPr="002B56B6">
        <w:rPr>
          <w:rFonts w:ascii="Times New Roman" w:eastAsia="Times New Roman" w:hAnsi="Times New Roman" w:cs="Times New Roman"/>
          <w:i/>
          <w:iCs/>
          <w:sz w:val="24"/>
          <w:szCs w:val="24"/>
        </w:rPr>
        <w:t>Optical atomic clocks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 Reviews of Modern Physics.</w:t>
      </w:r>
    </w:p>
    <w:p w14:paraId="5CB1F7F4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6B6">
        <w:rPr>
          <w:rFonts w:ascii="Times New Roman" w:eastAsia="Times New Roman" w:hAnsi="Times New Roman" w:cs="Times New Roman"/>
          <w:sz w:val="24"/>
          <w:szCs w:val="24"/>
        </w:rPr>
        <w:t>Natário</w:t>
      </w:r>
      <w:proofErr w:type="spellEnd"/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, J. (2002). </w:t>
      </w:r>
      <w:r w:rsidRPr="002B56B6">
        <w:rPr>
          <w:rFonts w:ascii="Times New Roman" w:eastAsia="Times New Roman" w:hAnsi="Times New Roman" w:cs="Times New Roman"/>
          <w:i/>
          <w:iCs/>
          <w:sz w:val="24"/>
          <w:szCs w:val="24"/>
        </w:rPr>
        <w:t>Warp drive with zero expansion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>. Classical and Quantum Gravity.</w:t>
      </w:r>
    </w:p>
    <w:p w14:paraId="4C357982" w14:textId="431BA6DD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Figure 1 — Warp Tunnel Efficiency and CST Synchronization Geometry</w:t>
      </w:r>
    </w:p>
    <w:p w14:paraId="3A833F94" w14:textId="77777777" w:rsidR="002B56B6" w:rsidRDefault="002B56B6" w:rsidP="002B56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FAD5EA" wp14:editId="78AFB9F8">
            <wp:extent cx="1720850" cy="2259374"/>
            <wp:effectExtent l="0" t="0" r="0" b="7620"/>
            <wp:docPr id="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0741" cy="227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CA878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2AD1F4" w14:textId="77777777" w:rsidR="002B56B6" w:rsidRPr="002B56B6" w:rsidRDefault="002B56B6" w:rsidP="002B56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4EFE6E" wp14:editId="12057E8D">
            <wp:extent cx="3379915" cy="1875853"/>
            <wp:effectExtent l="0" t="0" r="0" b="0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69" cy="188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55886" w14:textId="77777777" w:rsidR="002B56B6" w:rsidRPr="002B56B6" w:rsidRDefault="002B56B6" w:rsidP="002B56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9C2D933" wp14:editId="0299BCF3">
            <wp:extent cx="2533650" cy="2946105"/>
            <wp:effectExtent l="0" t="0" r="0" b="698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8358" cy="29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7370E" w14:textId="15BD2695" w:rsidR="00136A60" w:rsidRDefault="00000000">
      <w:pPr>
        <w:pStyle w:val="Heading1"/>
      </w:pPr>
      <w:r>
        <w:t>Diagram</w:t>
      </w:r>
    </w:p>
    <w:p w14:paraId="4F57D01A" w14:textId="77777777" w:rsidR="00136A60" w:rsidRDefault="00000000" w:rsidP="002B56B6">
      <w:pPr>
        <w:jc w:val="center"/>
      </w:pPr>
      <w:r>
        <w:rPr>
          <w:noProof/>
        </w:rPr>
        <w:drawing>
          <wp:inline distT="0" distB="0" distL="0" distR="0" wp14:anchorId="65EBF332" wp14:editId="4A460A5F">
            <wp:extent cx="2134587" cy="2019096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p_tunnel_diagram_labe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7654" cy="203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295F" w14:textId="511ADB1D" w:rsidR="000A070A" w:rsidRDefault="00000000">
      <w:pPr>
        <w:rPr>
          <w:noProof/>
        </w:rPr>
      </w:pPr>
      <w:r>
        <w:lastRenderedPageBreak/>
        <w:t xml:space="preserve">Warp Tunnel (outer circle, radius R) and Warp Bubble (inner disk, radius </w:t>
      </w:r>
      <w:proofErr w:type="spellStart"/>
      <w:r>
        <w:t>R_b</w:t>
      </w:r>
      <w:proofErr w:type="spellEnd"/>
      <w:r>
        <w:t xml:space="preserve">). The shaded region is the ‘used space’ carried by the bubble. Stability </w:t>
      </w:r>
      <w:r w:rsidR="000A070A">
        <w:t>requires</w:t>
      </w:r>
      <w:r>
        <w:t xml:space="preserve"> = </w:t>
      </w:r>
      <w:r w:rsidR="000A070A">
        <w:t>A bubble</w:t>
      </w:r>
      <w:r>
        <w:t>/</w:t>
      </w:r>
      <w:r w:rsidR="000A070A">
        <w:t>A circle</w:t>
      </w:r>
      <w:r>
        <w:t xml:space="preserve"> to remain ~constant, and CST sync uses </w:t>
      </w:r>
      <w:proofErr w:type="spellStart"/>
      <w:r>
        <w:t>Δt_CST</w:t>
      </w:r>
      <w:proofErr w:type="spellEnd"/>
      <w:r>
        <w:t xml:space="preserve"> = </w:t>
      </w:r>
      <w:proofErr w:type="spellStart"/>
      <w:r>
        <w:t>L_path</w:t>
      </w:r>
      <w:proofErr w:type="spellEnd"/>
      <w:r>
        <w:t>/</w:t>
      </w:r>
      <w:proofErr w:type="spellStart"/>
      <w:r>
        <w:t>c_eff</w:t>
      </w:r>
      <w:proofErr w:type="spellEnd"/>
      <w:r>
        <w:t>.</w:t>
      </w:r>
      <w:r w:rsidR="000A070A" w:rsidRPr="000A070A">
        <w:rPr>
          <w:noProof/>
        </w:rPr>
        <w:t xml:space="preserve"> </w:t>
      </w:r>
    </w:p>
    <w:p w14:paraId="76D7623D" w14:textId="16B81D42" w:rsidR="00136A60" w:rsidRDefault="000A070A" w:rsidP="002B56B6">
      <w:pPr>
        <w:jc w:val="center"/>
      </w:pPr>
      <w:r>
        <w:rPr>
          <w:noProof/>
        </w:rPr>
        <w:drawing>
          <wp:inline distT="0" distB="0" distL="0" distR="0" wp14:anchorId="79766C73" wp14:editId="52626F21">
            <wp:extent cx="2819400" cy="2819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p_tunnel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7900" w14:textId="5A78822D" w:rsidR="002B56B6" w:rsidRPr="002B56B6" w:rsidRDefault="002B56B6" w:rsidP="002B56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>Diagram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</w:t>
      </w:r>
      <w:r w:rsidRPr="002B56B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Layout (What to Build Exactly)</w:t>
      </w:r>
    </w:p>
    <w:p w14:paraId="1A27C374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6B6">
        <w:rPr>
          <w:rFonts w:ascii="Times New Roman" w:eastAsia="Times New Roman" w:hAnsi="Times New Roman" w:cs="Times New Roman"/>
          <w:b/>
          <w:bCs/>
          <w:sz w:val="27"/>
          <w:szCs w:val="27"/>
        </w:rPr>
        <w:t>Outer Boundary (Warp Tunnel)</w:t>
      </w:r>
    </w:p>
    <w:p w14:paraId="0281F370" w14:textId="77777777" w:rsidR="002B56B6" w:rsidRPr="002B56B6" w:rsidRDefault="002B56B6" w:rsidP="002B5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Dashed circle </w:t>
      </w:r>
    </w:p>
    <w:p w14:paraId="4E64CF4D" w14:textId="77777777" w:rsidR="002B56B6" w:rsidRPr="002B56B6" w:rsidRDefault="002B56B6" w:rsidP="002B5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Label:</w:t>
      </w:r>
    </w:p>
    <w:p w14:paraId="0C719EFC" w14:textId="77777777" w:rsidR="002B56B6" w:rsidRPr="002B56B6" w:rsidRDefault="002B56B6" w:rsidP="002B56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R(t)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(Tunnel Radius)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7DECE423" w14:textId="77777777" w:rsidR="002B56B6" w:rsidRPr="002B56B6" w:rsidRDefault="002B56B6" w:rsidP="002B56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Add annotation: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br/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“Maximum curvature boundary”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96D047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6B6">
        <w:rPr>
          <w:rFonts w:ascii="Times New Roman" w:eastAsia="Times New Roman" w:hAnsi="Times New Roman" w:cs="Times New Roman"/>
          <w:b/>
          <w:bCs/>
          <w:sz w:val="27"/>
          <w:szCs w:val="27"/>
        </w:rPr>
        <w:t>Inner Region (Warp Bubble)</w:t>
      </w:r>
    </w:p>
    <w:p w14:paraId="05C0DFDB" w14:textId="77777777" w:rsidR="002B56B6" w:rsidRPr="002B56B6" w:rsidRDefault="002B56B6" w:rsidP="002B5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Solid filled circle (centered) </w:t>
      </w:r>
    </w:p>
    <w:p w14:paraId="5358808A" w14:textId="77777777" w:rsidR="002B56B6" w:rsidRPr="002B56B6" w:rsidRDefault="002B56B6" w:rsidP="002B5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Label:</w:t>
      </w:r>
    </w:p>
    <w:p w14:paraId="05481FE1" w14:textId="77777777" w:rsidR="002B56B6" w:rsidRPr="002B56B6" w:rsidRDefault="00000000" w:rsidP="002B56B6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</m:t>
          </m:r>
          <m:r>
            <m:rPr>
              <m:nor/>
            </m:rPr>
            <w:rPr>
              <w:rFonts w:ascii="Times New Roman" w:eastAsia="Times New Roman" w:hAnsi="Times New Roman" w:cs="Times New Roman"/>
              <w:sz w:val="24"/>
              <w:szCs w:val="24"/>
            </w:rPr>
            <m:t>(Bubble Radius)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sz w:val="24"/>
              <w:szCs w:val="24"/>
            </w:rPr>
            <w:br/>
          </m:r>
        </m:oMath>
      </m:oMathPara>
    </w:p>
    <w:p w14:paraId="3AFBA3E0" w14:textId="77777777" w:rsidR="002B56B6" w:rsidRPr="002B56B6" w:rsidRDefault="002B56B6" w:rsidP="002B56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Inside label:</w:t>
      </w:r>
    </w:p>
    <w:p w14:paraId="414785E1" w14:textId="77777777" w:rsidR="002B56B6" w:rsidRDefault="00000000" w:rsidP="002B56B6">
      <w:pPr>
        <w:spacing w:beforeAutospacing="1" w:after="0" w:afterAutospacing="1" w:line="240" w:lineRule="auto"/>
        <w:ind w:left="720"/>
        <w:rPr>
          <w:rFonts w:ascii="Cambria Math" w:eastAsia="Times New Roman" w:hAnsi="Cambria Math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bubble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(t)</m:t>
          </m:r>
        </m:oMath>
      </m:oMathPara>
    </w:p>
    <w:p w14:paraId="01645EB2" w14:textId="21151807" w:rsidR="002B56B6" w:rsidRPr="002B56B6" w:rsidRDefault="002B56B6" w:rsidP="002B56B6">
      <w:pPr>
        <w:spacing w:beforeAutospacing="1" w:after="0" w:afterAutospacing="1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6B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Gap Region (CRITICAL ADDITION)</w:t>
      </w:r>
    </w:p>
    <w:p w14:paraId="029191AF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Between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sub>
        </m:sSub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58E90D6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Label this area:</w:t>
      </w:r>
    </w:p>
    <w:p w14:paraId="695731CC" w14:textId="2FF52981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“Unused Curvature / Energy Loss Region”</w:t>
      </w:r>
    </w:p>
    <w:p w14:paraId="511E5EAD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new physics insight</w:t>
      </w:r>
    </w:p>
    <w:p w14:paraId="1522E2E0" w14:textId="77777777" w:rsidR="002B56B6" w:rsidRPr="002B56B6" w:rsidRDefault="002B56B6" w:rsidP="002B5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region = inefficiency driver </w:t>
      </w:r>
    </w:p>
    <w:p w14:paraId="76665E8C" w14:textId="77777777" w:rsidR="002B56B6" w:rsidRPr="002B56B6" w:rsidRDefault="002B56B6" w:rsidP="002B56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This is what reviewers will focus on </w:t>
      </w:r>
    </w:p>
    <w:p w14:paraId="2DC850A0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6B6">
        <w:rPr>
          <w:rFonts w:ascii="Times New Roman" w:eastAsia="Times New Roman" w:hAnsi="Times New Roman" w:cs="Times New Roman"/>
          <w:b/>
          <w:bCs/>
          <w:sz w:val="27"/>
          <w:szCs w:val="27"/>
        </w:rPr>
        <w:t>Efficiency Annotation</w:t>
      </w:r>
    </w:p>
    <w:p w14:paraId="78C9E4C9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Place near diagram:</w:t>
      </w:r>
    </w:p>
    <w:p w14:paraId="745AEAFA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η(t)=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5EF571AE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Add arrow pointing from inner → outer circle</w:t>
      </w:r>
    </w:p>
    <w:p w14:paraId="5172572B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6B6">
        <w:rPr>
          <w:rFonts w:ascii="Times New Roman" w:eastAsia="Times New Roman" w:hAnsi="Times New Roman" w:cs="Times New Roman"/>
          <w:b/>
          <w:bCs/>
          <w:sz w:val="27"/>
          <w:szCs w:val="27"/>
        </w:rPr>
        <w:t>CST Path Overlay (NEW LAYER)</w:t>
      </w:r>
    </w:p>
    <w:p w14:paraId="2A86FEBD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Draw a curved or straight path across the diameter:</w:t>
      </w:r>
    </w:p>
    <w:p w14:paraId="17E764A4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Label:</w:t>
      </w:r>
    </w:p>
    <w:p w14:paraId="230CA219" w14:textId="77777777" w:rsidR="002B56B6" w:rsidRPr="002B56B6" w:rsidRDefault="00000000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L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path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=∫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i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sup>
              </m:sSup>
            </m:e>
          </m:rad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6B36D9A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14:paraId="1C808297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CST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path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77D09BCF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6B6">
        <w:rPr>
          <w:rFonts w:ascii="Times New Roman" w:eastAsia="Times New Roman" w:hAnsi="Times New Roman" w:cs="Times New Roman"/>
          <w:b/>
          <w:bCs/>
          <w:sz w:val="27"/>
          <w:szCs w:val="27"/>
        </w:rPr>
        <w:t>Time Sync Indicator (IMPORTANT VISUAL)</w:t>
      </w:r>
    </w:p>
    <w:p w14:paraId="18F65A2C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Add a small clock icon or label:</w:t>
      </w:r>
    </w:p>
    <w:p w14:paraId="3DEE1B22" w14:textId="79777D2E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“Atomic Time Reference (Cs-133)”</w:t>
      </w:r>
    </w:p>
    <w:p w14:paraId="7293B653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lastRenderedPageBreak/>
        <w:t>Then arrow to:</w:t>
      </w:r>
    </w:p>
    <w:p w14:paraId="27C6793A" w14:textId="4BFD94F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“Ship Time”</w:t>
      </w:r>
    </w:p>
    <w:p w14:paraId="04256F47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Label:</w:t>
      </w:r>
    </w:p>
    <w:p w14:paraId="2B2ABC07" w14:textId="77777777" w:rsidR="002B56B6" w:rsidRPr="002B56B6" w:rsidRDefault="002B56B6" w:rsidP="002B5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Δ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CST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ship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atomic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w:br/>
          </m:r>
        </m:oMath>
      </m:oMathPara>
    </w:p>
    <w:p w14:paraId="33B43623" w14:textId="77777777" w:rsidR="002B56B6" w:rsidRPr="002B56B6" w:rsidRDefault="002B56B6" w:rsidP="002B5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56B6">
        <w:rPr>
          <w:rFonts w:ascii="Times New Roman" w:eastAsia="Times New Roman" w:hAnsi="Times New Roman" w:cs="Times New Roman"/>
          <w:b/>
          <w:bCs/>
          <w:sz w:val="27"/>
          <w:szCs w:val="27"/>
        </w:rPr>
        <w:t>Directional Arrows (Motion / Control)</w:t>
      </w:r>
    </w:p>
    <w:p w14:paraId="238DB701" w14:textId="77777777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14:paraId="0EB2767C" w14:textId="77777777" w:rsidR="002B56B6" w:rsidRPr="002B56B6" w:rsidRDefault="002B56B6" w:rsidP="002B5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Forward arrow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ship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</w:p>
    <w:p w14:paraId="6F7833B5" w14:textId="77777777" w:rsidR="002B56B6" w:rsidRPr="002B56B6" w:rsidRDefault="002B56B6" w:rsidP="002B56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Bubble shift arrow →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bubble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</w:p>
    <w:p w14:paraId="2E8D8FB9" w14:textId="6DEFB2FD" w:rsidR="002B56B6" w:rsidRPr="002B56B6" w:rsidRDefault="002B56B6" w:rsidP="002B5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B6">
        <w:rPr>
          <w:rFonts w:ascii="Times New Roman" w:eastAsia="Times New Roman" w:hAnsi="Times New Roman" w:cs="Times New Roman"/>
          <w:b/>
          <w:bCs/>
          <w:sz w:val="24"/>
          <w:szCs w:val="24"/>
        </w:rPr>
        <w:t>Figure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 </w:t>
      </w:r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Warp tunnel cross-section showing the relationship between tunnel radius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R(t)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and bubble radius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. The inner region represents transported spacetime volume </w:t>
      </w: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bubble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</w:rPr>
          <m:t>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, while the outer region defines the maximum curvature boundary. The area between them represents unused curvature, contributing to inefficiency. Stability is achieved when the utilization ratio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η(t)</m:t>
        </m:r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 xml:space="preserve">remains constant and CST time deviation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Δ</m:t>
        </m:r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CST</m:t>
            </m:r>
          </m:sub>
        </m:sSub>
      </m:oMath>
      <w:r w:rsidRPr="002B56B6">
        <w:rPr>
          <w:rFonts w:ascii="Times New Roman" w:eastAsia="Times New Roman" w:hAnsi="Times New Roman" w:cs="Times New Roman"/>
          <w:sz w:val="24"/>
          <w:szCs w:val="24"/>
        </w:rPr>
        <w:t>is minimized using an atomic time reference.</w:t>
      </w:r>
    </w:p>
    <w:p w14:paraId="4F47A020" w14:textId="77777777" w:rsidR="002B56B6" w:rsidRDefault="002B56B6" w:rsidP="002B56B6"/>
    <w:sectPr w:rsidR="002B56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043472"/>
    <w:multiLevelType w:val="multilevel"/>
    <w:tmpl w:val="58E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C76DC"/>
    <w:multiLevelType w:val="multilevel"/>
    <w:tmpl w:val="3F0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25EEC"/>
    <w:multiLevelType w:val="multilevel"/>
    <w:tmpl w:val="ABC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66EFB"/>
    <w:multiLevelType w:val="multilevel"/>
    <w:tmpl w:val="A6B2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4422A8"/>
    <w:multiLevelType w:val="multilevel"/>
    <w:tmpl w:val="5B5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61725"/>
    <w:multiLevelType w:val="multilevel"/>
    <w:tmpl w:val="2FF8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CA79C7"/>
    <w:multiLevelType w:val="multilevel"/>
    <w:tmpl w:val="1014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A9368D"/>
    <w:multiLevelType w:val="multilevel"/>
    <w:tmpl w:val="F522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648D1"/>
    <w:multiLevelType w:val="multilevel"/>
    <w:tmpl w:val="8C8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F0339"/>
    <w:multiLevelType w:val="multilevel"/>
    <w:tmpl w:val="9EA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055006">
    <w:abstractNumId w:val="8"/>
  </w:num>
  <w:num w:numId="2" w16cid:durableId="1306472266">
    <w:abstractNumId w:val="6"/>
  </w:num>
  <w:num w:numId="3" w16cid:durableId="384257273">
    <w:abstractNumId w:val="5"/>
  </w:num>
  <w:num w:numId="4" w16cid:durableId="1565607909">
    <w:abstractNumId w:val="4"/>
  </w:num>
  <w:num w:numId="5" w16cid:durableId="1371568804">
    <w:abstractNumId w:val="7"/>
  </w:num>
  <w:num w:numId="6" w16cid:durableId="1074549532">
    <w:abstractNumId w:val="3"/>
  </w:num>
  <w:num w:numId="7" w16cid:durableId="382218680">
    <w:abstractNumId w:val="2"/>
  </w:num>
  <w:num w:numId="8" w16cid:durableId="1604338605">
    <w:abstractNumId w:val="1"/>
  </w:num>
  <w:num w:numId="9" w16cid:durableId="1427965418">
    <w:abstractNumId w:val="0"/>
  </w:num>
  <w:num w:numId="10" w16cid:durableId="205872003">
    <w:abstractNumId w:val="13"/>
  </w:num>
  <w:num w:numId="11" w16cid:durableId="1961179756">
    <w:abstractNumId w:val="15"/>
  </w:num>
  <w:num w:numId="12" w16cid:durableId="1507355763">
    <w:abstractNumId w:val="16"/>
  </w:num>
  <w:num w:numId="13" w16cid:durableId="1036126824">
    <w:abstractNumId w:val="11"/>
  </w:num>
  <w:num w:numId="14" w16cid:durableId="1719739328">
    <w:abstractNumId w:val="10"/>
  </w:num>
  <w:num w:numId="15" w16cid:durableId="1546865658">
    <w:abstractNumId w:val="12"/>
  </w:num>
  <w:num w:numId="16" w16cid:durableId="1963147196">
    <w:abstractNumId w:val="14"/>
  </w:num>
  <w:num w:numId="17" w16cid:durableId="410784057">
    <w:abstractNumId w:val="17"/>
  </w:num>
  <w:num w:numId="18" w16cid:durableId="1783108151">
    <w:abstractNumId w:val="18"/>
  </w:num>
  <w:num w:numId="19" w16cid:durableId="18717246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1C"/>
    <w:rsid w:val="0006063C"/>
    <w:rsid w:val="000A070A"/>
    <w:rsid w:val="00136A60"/>
    <w:rsid w:val="0015074B"/>
    <w:rsid w:val="001F2C07"/>
    <w:rsid w:val="0029639D"/>
    <w:rsid w:val="002B56B6"/>
    <w:rsid w:val="00326F90"/>
    <w:rsid w:val="00716134"/>
    <w:rsid w:val="00A41DF8"/>
    <w:rsid w:val="00AA1D8D"/>
    <w:rsid w:val="00B47730"/>
    <w:rsid w:val="00CB0664"/>
    <w:rsid w:val="00D470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A0F436"/>
  <w14:defaultImageDpi w14:val="300"/>
  <w15:docId w15:val="{1F3AFA79-BDAD-4B22-8952-532470583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963</Words>
  <Characters>6430</Characters>
  <Application>Microsoft Office Word</Application>
  <DocSecurity>0</DocSecurity>
  <Lines>238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Gabino Casanova</cp:lastModifiedBy>
  <cp:revision>4</cp:revision>
  <dcterms:created xsi:type="dcterms:W3CDTF">2013-12-23T23:15:00Z</dcterms:created>
  <dcterms:modified xsi:type="dcterms:W3CDTF">2026-04-14T05:41:00Z</dcterms:modified>
  <cp:category/>
</cp:coreProperties>
</file>