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1DBCD" w14:textId="77777777" w:rsidR="00CA5E09" w:rsidRPr="00CA5E09" w:rsidRDefault="00CA5E09" w:rsidP="00CA5E09">
      <w:pPr>
        <w:spacing w:before="100" w:beforeAutospacing="1" w:after="100" w:afterAutospacing="1" w:line="240" w:lineRule="auto"/>
        <w:outlineLvl w:val="0"/>
        <w:rPr>
          <w:rFonts w:cs="Times New Roman"/>
          <w:b/>
          <w:bCs/>
          <w:kern w:val="36"/>
          <w:sz w:val="48"/>
          <w:szCs w:val="48"/>
        </w:rPr>
      </w:pPr>
      <w:r w:rsidRPr="00CA5E09">
        <w:rPr>
          <w:rFonts w:cs="Times New Roman"/>
          <w:b/>
          <w:bCs/>
          <w:kern w:val="36"/>
          <w:sz w:val="48"/>
          <w:szCs w:val="48"/>
        </w:rPr>
        <w:t>Die Glocke–</w:t>
      </w:r>
      <w:proofErr w:type="spellStart"/>
      <w:r w:rsidRPr="00CA5E09">
        <w:rPr>
          <w:rFonts w:cs="Times New Roman"/>
          <w:b/>
          <w:bCs/>
          <w:kern w:val="36"/>
          <w:sz w:val="48"/>
          <w:szCs w:val="48"/>
        </w:rPr>
        <w:t>Kecksburg</w:t>
      </w:r>
      <w:proofErr w:type="spellEnd"/>
      <w:r w:rsidRPr="00CA5E09">
        <w:rPr>
          <w:rFonts w:cs="Times New Roman"/>
          <w:b/>
          <w:bCs/>
          <w:kern w:val="36"/>
          <w:sz w:val="48"/>
          <w:szCs w:val="48"/>
        </w:rPr>
        <w:t xml:space="preserve"> Object–Betz Sphere–Buga Sphere Continuum (1930–1950 → 2025)</w:t>
      </w:r>
    </w:p>
    <w:p w14:paraId="2A6A1C98"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b/>
          <w:bCs/>
          <w:szCs w:val="24"/>
        </w:rPr>
        <w:t>By Gabino Casanova — Independent Innovator</w:t>
      </w:r>
    </w:p>
    <w:p w14:paraId="451CB593"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t>Executive Summary</w:t>
      </w:r>
    </w:p>
    <w:p w14:paraId="796EA563"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This study presents a synthesized analysis of historical reports, electromagnetic (EM) conditions, and the Cosmic Standard Time (CST) framework to evaluate a proposed continuum linking the World War II German </w:t>
      </w:r>
      <w:r w:rsidRPr="00CA5E09">
        <w:rPr>
          <w:rFonts w:cs="Times New Roman"/>
          <w:i/>
          <w:iCs/>
          <w:szCs w:val="24"/>
        </w:rPr>
        <w:t>Die Glocke</w:t>
      </w:r>
      <w:r w:rsidRPr="00CA5E09">
        <w:rPr>
          <w:rFonts w:cs="Times New Roman"/>
          <w:szCs w:val="24"/>
        </w:rPr>
        <w:t xml:space="preserve"> project, the alleged 1943 Philadelphia naval experiment, and later anomalous objects such as the </w:t>
      </w:r>
      <w:proofErr w:type="spellStart"/>
      <w:r w:rsidRPr="00CA5E09">
        <w:rPr>
          <w:rFonts w:cs="Times New Roman"/>
          <w:szCs w:val="24"/>
        </w:rPr>
        <w:t>Kecksburg</w:t>
      </w:r>
      <w:proofErr w:type="spellEnd"/>
      <w:r w:rsidRPr="00CA5E09">
        <w:rPr>
          <w:rFonts w:cs="Times New Roman"/>
          <w:szCs w:val="24"/>
        </w:rPr>
        <w:t xml:space="preserve"> object, Betz sphere, and the reported Buga sphere of 2025. The working hypothesis proposes that these events may not represent isolated anomalies but instead correspond to temporal-equilibrium re-entry points governed by electromagnetic harmonics and curvature stability conditions. </w:t>
      </w:r>
    </w:p>
    <w:p w14:paraId="24CBB0C4"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The analysis integrates archival geomagnetic data, solar cycle behavior, and anthropogenic electromagnetic activity between 1930 and 1950, a period characterized by intense ionospheric disturbance and rapid technological development. A comparative model is introduced using CST timing relationships, energy decay functions, and phase synchronization principles to evaluate whether temporal displacement without defined coordinates could result in delayed reappearance at harmonic equilibrium nodes.</w:t>
      </w:r>
    </w:p>
    <w:p w14:paraId="4FB5FF54"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t>Background and Objectives</w:t>
      </w:r>
    </w:p>
    <w:p w14:paraId="14110AD1"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The primary objective of this research is to evaluate whether reported anomalous objects—specifically bell-shaped and spherical metallic artifacts—can be correlated with electromagnetic equilibrium nodes rather than random or unrelated events. </w:t>
      </w:r>
    </w:p>
    <w:p w14:paraId="6CD8AA79"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This approach integrates wartime electromagnetic infrastructure, including radar and high-voltage naval systems, with natural geomagnetic fluctuations such as solar cycle peaks and K-index disturbances. The CST framework is used as a timing model in which deviations from local temporal reference frames are treated as controllable or observable variables rather than passive relativistic outcomes.</w:t>
      </w:r>
    </w:p>
    <w:p w14:paraId="4F10C6C9"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The working premise is that temporal displacement events, if initiated without defined spatial-temporal coordinates, may result in re-entry only when environmental conditions replicate the original field configuration.</w:t>
      </w:r>
    </w:p>
    <w:p w14:paraId="51A6FD56" w14:textId="40ECF2F4" w:rsidR="00CA5E09" w:rsidRPr="00CA5E09" w:rsidRDefault="00CA5E09" w:rsidP="00CA5E09">
      <w:pPr>
        <w:spacing w:after="0" w:line="240" w:lineRule="auto"/>
        <w:rPr>
          <w:rFonts w:cs="Times New Roman"/>
          <w:szCs w:val="24"/>
        </w:rPr>
      </w:pPr>
    </w:p>
    <w:p w14:paraId="0E51B0CD"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lastRenderedPageBreak/>
        <w:t>Chronology of Key Events</w:t>
      </w:r>
    </w:p>
    <w:p w14:paraId="6EF852CE"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A structured review of reported events reveals clustering near periods of elevated electromagnetic activity. Key historical points include the escalation of global EM operations during the Second World War, the alleged </w:t>
      </w:r>
      <w:r w:rsidRPr="00CA5E09">
        <w:rPr>
          <w:rFonts w:cs="Times New Roman"/>
          <w:i/>
          <w:iCs/>
          <w:szCs w:val="24"/>
        </w:rPr>
        <w:t>Die Glocke</w:t>
      </w:r>
      <w:r w:rsidRPr="00CA5E09">
        <w:rPr>
          <w:rFonts w:cs="Times New Roman"/>
          <w:szCs w:val="24"/>
        </w:rPr>
        <w:t xml:space="preserve"> experiments between 1942 and 1945, and the 1943 Philadelphia naval test narrative. </w:t>
      </w:r>
    </w:p>
    <w:p w14:paraId="478D9ABA"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Subsequent anomalies such as the 1965 </w:t>
      </w:r>
      <w:proofErr w:type="spellStart"/>
      <w:r w:rsidRPr="00CA5E09">
        <w:rPr>
          <w:rFonts w:cs="Times New Roman"/>
          <w:szCs w:val="24"/>
        </w:rPr>
        <w:t>Kecksburg</w:t>
      </w:r>
      <w:proofErr w:type="spellEnd"/>
      <w:r w:rsidRPr="00CA5E09">
        <w:rPr>
          <w:rFonts w:cs="Times New Roman"/>
          <w:szCs w:val="24"/>
        </w:rPr>
        <w:t xml:space="preserve"> incident and the 1974 Betz sphere case introduce potential delayed re-entry points. The reported Buga sphere of 2025, described as exhibiting magnetic irregularities, is interpreted within this framework as a possible long-cycle harmonic return aligned with Solar Cycle 25.</w:t>
      </w:r>
    </w:p>
    <w:p w14:paraId="1E75AF02"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Within the CST interpretation, these events may represent equilibrium nodes where the rate of change of curvature approaches zero and environmental harmonics align with origin-state conditions.</w:t>
      </w:r>
    </w:p>
    <w:p w14:paraId="3D4F8211"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t>Comparative Analysis of Objects and Phenomena</w:t>
      </w:r>
    </w:p>
    <w:p w14:paraId="2E3DA663"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The </w:t>
      </w:r>
      <w:r w:rsidRPr="00CA5E09">
        <w:rPr>
          <w:rFonts w:cs="Times New Roman"/>
          <w:i/>
          <w:iCs/>
          <w:szCs w:val="24"/>
        </w:rPr>
        <w:t>Die Glocke</w:t>
      </w:r>
      <w:r w:rsidRPr="00CA5E09">
        <w:rPr>
          <w:rFonts w:cs="Times New Roman"/>
          <w:szCs w:val="24"/>
        </w:rPr>
        <w:t xml:space="preserve"> device is described in historical accounts as a bell-shaped metallic apparatus associated with high-voltage rotating electromagnetic fields and anomalous radiation effects. </w:t>
      </w:r>
    </w:p>
    <w:p w14:paraId="0E24E023"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The </w:t>
      </w:r>
      <w:proofErr w:type="spellStart"/>
      <w:r w:rsidRPr="00CA5E09">
        <w:rPr>
          <w:rFonts w:cs="Times New Roman"/>
          <w:szCs w:val="24"/>
        </w:rPr>
        <w:t>Kecksburg</w:t>
      </w:r>
      <w:proofErr w:type="spellEnd"/>
      <w:r w:rsidRPr="00CA5E09">
        <w:rPr>
          <w:rFonts w:cs="Times New Roman"/>
          <w:szCs w:val="24"/>
        </w:rPr>
        <w:t xml:space="preserve"> object, often reported as acorn-shaped, shares geometric similarities and has been interpreted as a possible re-entry artifact. The Betz sphere, while likely terrestrial in origin, provides a useful comparative case due to its reported resonance behavior and unusual motion characteristics.</w:t>
      </w:r>
    </w:p>
    <w:p w14:paraId="37B74CB9"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The Buga sphere, described as seamless and exhibiting magnetic anomalies, is positioned within this study as a candidate for long-duration phase-locked reappearance. Although verification remains pending, its reported features are consistent with the hypothesis of harmonic re-entry under CST conditions.</w:t>
      </w:r>
    </w:p>
    <w:p w14:paraId="41ED1054"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t>CST Temporal-Equilibrium Model</w:t>
      </w:r>
    </w:p>
    <w:p w14:paraId="3E983FC1"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The CST framework proposes that objects displaced from spacetime without fixed coordinates reappear when environmental conditions match their origin harmonic state. </w:t>
      </w:r>
    </w:p>
    <w:p w14:paraId="71D2B5C3" w14:textId="1A05D9A3"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Temporal drift is expressed as a function of input energy relative to </w:t>
      </w:r>
      <w:r w:rsidRPr="00CA5E09">
        <w:rPr>
          <w:rFonts w:cs="Times New Roman"/>
          <w:szCs w:val="24"/>
        </w:rPr>
        <w:t>baseline</w:t>
      </w:r>
      <w:r w:rsidRPr="00CA5E09">
        <w:rPr>
          <w:rFonts w:cs="Times New Roman"/>
          <w:szCs w:val="24"/>
        </w:rPr>
        <w:t xml:space="preserve"> spacetime energy, modulated by curvature effects. Energy decay follows an exponential model, with re-entry predicted when the remaining energy approaches the CST equilibrium threshold.</w:t>
      </w:r>
    </w:p>
    <w:p w14:paraId="3B93F433"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Phase relationships are governed by cyclic environmental drivers such as solar activity and long-period astronomical cycles. Within this model, temporal displacement is not indefinite but constrained by harmonic re-synchronization conditions.</w:t>
      </w:r>
    </w:p>
    <w:p w14:paraId="08619AEA"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lastRenderedPageBreak/>
        <w:t>Temporal Gaps and Harmonic Relationships</w:t>
      </w:r>
    </w:p>
    <w:p w14:paraId="2380AFE4" w14:textId="6621303D"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Observed intervals between reported </w:t>
      </w:r>
      <w:r w:rsidRPr="00CA5E09">
        <w:rPr>
          <w:rFonts w:cs="Times New Roman"/>
          <w:szCs w:val="24"/>
        </w:rPr>
        <w:t xml:space="preserve">events, </w:t>
      </w:r>
      <w:r w:rsidRPr="00CA5E09">
        <w:rPr>
          <w:rFonts w:cs="Times New Roman"/>
          <w:szCs w:val="24"/>
        </w:rPr>
        <w:t xml:space="preserve">approximately 22, 31, and 82 years—are interpreted not as inconsistencies but as manifestations of different harmonic alignments. </w:t>
      </w:r>
    </w:p>
    <w:p w14:paraId="1AE8901A" w14:textId="3A6FD74E"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Shorter intervals correspond to solar cycle harmonics, while longer intervals may reflect subharmonics of </w:t>
      </w:r>
      <w:r w:rsidRPr="00CA5E09">
        <w:rPr>
          <w:rFonts w:cs="Times New Roman"/>
          <w:szCs w:val="24"/>
        </w:rPr>
        <w:t>processional</w:t>
      </w:r>
      <w:r w:rsidRPr="00CA5E09">
        <w:rPr>
          <w:rFonts w:cs="Times New Roman"/>
          <w:szCs w:val="24"/>
        </w:rPr>
        <w:t xml:space="preserve"> or large-scale cosmological cycles. The Buga sphere’s timing near Solar Cycle 25 maximum supports the hypothesis of phase-lock re-entry at high-energy environmental peaks.</w:t>
      </w:r>
    </w:p>
    <w:p w14:paraId="2C3A1A2E"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t>Electromagnetic Environment (1930–1950)</w:t>
      </w:r>
    </w:p>
    <w:p w14:paraId="4C0B2576"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The period between 1930 and 1950 was characterized by strong natural and anthropogenic electromagnetic activity. Solar Cycle 17, spanning approximately 1933 to 1944, produced high sunspot numbers and significant geomagnetic storms. </w:t>
      </w:r>
    </w:p>
    <w:p w14:paraId="62A8F608" w14:textId="60E949D4"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Documented events such as the September 1941 geomagnetic disturbance and multiple </w:t>
      </w:r>
      <w:proofErr w:type="spellStart"/>
      <w:r w:rsidRPr="00CA5E09">
        <w:rPr>
          <w:rFonts w:cs="Times New Roman"/>
          <w:szCs w:val="24"/>
        </w:rPr>
        <w:t>Kp</w:t>
      </w:r>
      <w:proofErr w:type="spellEnd"/>
      <w:r w:rsidRPr="00CA5E09">
        <w:rPr>
          <w:rFonts w:cs="Times New Roman"/>
          <w:szCs w:val="24"/>
        </w:rPr>
        <w:t xml:space="preserve"> index spikes indicate substantial ionospheric instability. Concurrently, wartime technologies including radar systems, magnetrons, and high-frequency communications </w:t>
      </w:r>
      <w:r w:rsidRPr="00CA5E09">
        <w:rPr>
          <w:rFonts w:cs="Times New Roman"/>
          <w:szCs w:val="24"/>
        </w:rPr>
        <w:t>generate</w:t>
      </w:r>
      <w:r w:rsidRPr="00CA5E09">
        <w:rPr>
          <w:rFonts w:cs="Times New Roman"/>
          <w:szCs w:val="24"/>
        </w:rPr>
        <w:t xml:space="preserve"> localized electromagnetic intensities.</w:t>
      </w:r>
    </w:p>
    <w:p w14:paraId="06F38CC4"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The convergence of these natural and artificial drivers created a unique environment that may have approached or exceeded thresholds required for electromagnetic field-induced spacetime perturbations.</w:t>
      </w:r>
    </w:p>
    <w:p w14:paraId="71232A32"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t>Radar Invisibility and Conceptual Analogues</w:t>
      </w:r>
    </w:p>
    <w:p w14:paraId="6D16C562"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The 1943 naval experiment narrative, commonly associated with the USS </w:t>
      </w:r>
      <w:r w:rsidRPr="00CA5E09">
        <w:rPr>
          <w:rFonts w:cs="Times New Roman"/>
          <w:i/>
          <w:iCs/>
          <w:szCs w:val="24"/>
        </w:rPr>
        <w:t>Eldridge</w:t>
      </w:r>
      <w:r w:rsidRPr="00CA5E09">
        <w:rPr>
          <w:rFonts w:cs="Times New Roman"/>
          <w:szCs w:val="24"/>
        </w:rPr>
        <w:t xml:space="preserve">, remains controversial but serves as a conceptual analogue within this framework. </w:t>
      </w:r>
    </w:p>
    <w:p w14:paraId="1D9F3F4F"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Regardless of its historical accuracy, the scenario describes a system in which strong electromagnetic fields could induce temporary displacement or invisibility. Within CST interpretation, such an event would represent a world-line deviation that re-stabilizes when environmental harmonics match the original configuration.</w:t>
      </w:r>
    </w:p>
    <w:p w14:paraId="6CEB1EAC"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t>Electromagnetic Synchrony and Re-entry Conditions</w:t>
      </w:r>
    </w:p>
    <w:p w14:paraId="13049577"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Re-entry is modeled as a phase-lock condition in which the environmental electromagnetic field approximates the origin field configuration. </w:t>
      </w:r>
    </w:p>
    <w:p w14:paraId="31E6A151"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This synchronization may occur during solar maxima, geomagnetic storms, or localized high-energy events. The variation in observed re-entry intervals is therefore attributed to differences in harmonic matching conditions rather than inconsistencies in the underlying mechanism.</w:t>
      </w:r>
    </w:p>
    <w:p w14:paraId="3777193C"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lastRenderedPageBreak/>
        <w:t>Methods and Data Requirements</w:t>
      </w:r>
    </w:p>
    <w:p w14:paraId="6F0FDD7F"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Future validation of this hypothesis requires systematic data collection and analysis. Key requirements include reconstruction of historical geomagnetic indices, retrieval of wartime ionospheric measurements, and examination of naval electromagnetic system logs. </w:t>
      </w:r>
    </w:p>
    <w:p w14:paraId="4EB15503"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Additional modeling should integrate Schumann resonance data, solar radio flux measurements, and CST-based phase calculations. Energy decay parameters must be constrained using realistic physical assumptions related to plasma dynamics and containment geometries.</w:t>
      </w:r>
    </w:p>
    <w:p w14:paraId="067DE9D4"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t>Continuity of Electromagnetic Experimentation</w:t>
      </w:r>
    </w:p>
    <w:p w14:paraId="2780243D"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Both German and American wartime programs operated within the same geomagnetic window and appear to have explored high-energy electromagnetic systems. </w:t>
      </w:r>
    </w:p>
    <w:p w14:paraId="79FAF0CE"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Declassified records confirm the presence of advanced radar and power systems, while post-war European accounts describe rotating-field devices with similarities to containment engines. The temporal spacing between these programs and modern anomalies suggests a recurring harmonic structure rather than isolated experimentation.</w:t>
      </w:r>
    </w:p>
    <w:p w14:paraId="12667163"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t>Conclusions</w:t>
      </w:r>
    </w:p>
    <w:p w14:paraId="7F18ABA4"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 xml:space="preserve">Within the CST framework, the Bell–Sphere continuum is consistent with a temporal-equilibrium model in which displaced objects re-enter spacetime when environmental electromagnetic harmonics match their origin conditions. </w:t>
      </w:r>
    </w:p>
    <w:p w14:paraId="707DBA1F"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The convergence of historical timelines, geomagnetic activity, and reported anomalies supports the hypothesis of structured re-entry nodes rather than random occurrences. However, these interpretations remain speculative and require rigorous empirical validation.</w:t>
      </w:r>
    </w:p>
    <w:p w14:paraId="225A27BB"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The alignment of solar cycles, electromagnetic field intensities, and reported events warrants further interdisciplinary investigation combining archival research, electromagnetic modeling, and experimental physics.</w:t>
      </w:r>
    </w:p>
    <w:p w14:paraId="77B2FD22" w14:textId="20F89E3E" w:rsidR="00CA5E09" w:rsidRDefault="00CA5E09" w:rsidP="00CA5E09">
      <w:pPr>
        <w:spacing w:after="0" w:line="240" w:lineRule="auto"/>
        <w:rPr>
          <w:rFonts w:cs="Times New Roman"/>
          <w:szCs w:val="24"/>
        </w:rPr>
      </w:pPr>
    </w:p>
    <w:p w14:paraId="096CB098" w14:textId="77777777" w:rsidR="00CA5E09" w:rsidRDefault="00CA5E09" w:rsidP="00CA5E09">
      <w:pPr>
        <w:spacing w:after="0" w:line="240" w:lineRule="auto"/>
        <w:rPr>
          <w:rFonts w:cs="Times New Roman"/>
          <w:szCs w:val="24"/>
        </w:rPr>
      </w:pPr>
    </w:p>
    <w:p w14:paraId="32302086" w14:textId="77777777" w:rsidR="00CA5E09" w:rsidRDefault="00CA5E09" w:rsidP="00CA5E09">
      <w:pPr>
        <w:spacing w:after="0" w:line="240" w:lineRule="auto"/>
        <w:rPr>
          <w:rFonts w:cs="Times New Roman"/>
          <w:szCs w:val="24"/>
        </w:rPr>
      </w:pPr>
    </w:p>
    <w:p w14:paraId="265072F6" w14:textId="77777777" w:rsidR="00CA5E09" w:rsidRDefault="00CA5E09" w:rsidP="00CA5E09">
      <w:pPr>
        <w:spacing w:after="0" w:line="240" w:lineRule="auto"/>
        <w:rPr>
          <w:rFonts w:cs="Times New Roman"/>
          <w:szCs w:val="24"/>
        </w:rPr>
      </w:pPr>
    </w:p>
    <w:p w14:paraId="5F327E85" w14:textId="77777777" w:rsidR="00CA5E09" w:rsidRDefault="00CA5E09" w:rsidP="00CA5E09">
      <w:pPr>
        <w:spacing w:after="0" w:line="240" w:lineRule="auto"/>
        <w:rPr>
          <w:rFonts w:cs="Times New Roman"/>
          <w:szCs w:val="24"/>
        </w:rPr>
      </w:pPr>
    </w:p>
    <w:p w14:paraId="5B3F673D" w14:textId="77777777" w:rsidR="00CA5E09" w:rsidRPr="00CA5E09" w:rsidRDefault="00CA5E09" w:rsidP="00CA5E09">
      <w:pPr>
        <w:spacing w:after="0" w:line="240" w:lineRule="auto"/>
        <w:rPr>
          <w:rFonts w:cs="Times New Roman"/>
          <w:szCs w:val="24"/>
        </w:rPr>
      </w:pPr>
    </w:p>
    <w:p w14:paraId="28A5F724" w14:textId="77777777" w:rsidR="00CA5E09" w:rsidRPr="00CA5E09" w:rsidRDefault="00CA5E09" w:rsidP="00CA5E09">
      <w:pPr>
        <w:spacing w:before="100" w:beforeAutospacing="1" w:after="100" w:afterAutospacing="1" w:line="240" w:lineRule="auto"/>
        <w:outlineLvl w:val="1"/>
        <w:rPr>
          <w:rFonts w:cs="Times New Roman"/>
          <w:b/>
          <w:bCs/>
          <w:sz w:val="36"/>
          <w:szCs w:val="36"/>
        </w:rPr>
      </w:pPr>
      <w:r w:rsidRPr="00CA5E09">
        <w:rPr>
          <w:rFonts w:cs="Times New Roman"/>
          <w:b/>
          <w:bCs/>
          <w:sz w:val="36"/>
          <w:szCs w:val="36"/>
        </w:rPr>
        <w:lastRenderedPageBreak/>
        <w:t>References</w:t>
      </w:r>
    </w:p>
    <w:p w14:paraId="0206E83D"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National Oceanic and Atmospheric Administration Space Weather Prediction Center. Solar Cycle Data and Geomagnetic Indices.</w:t>
      </w:r>
    </w:p>
    <w:p w14:paraId="5E081C90"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American Geophysical Union. The Geomagnetic Blitz of September 1941.</w:t>
      </w:r>
    </w:p>
    <w:p w14:paraId="783CA730"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NASA Astrophysics Data System. Ionospheric Storm and Radio Blackout Studies (1940s).</w:t>
      </w:r>
    </w:p>
    <w:p w14:paraId="49E6DC57"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United States National Archives. Record Groups 80 and 313, Naval Operational and Technical Records.</w:t>
      </w:r>
    </w:p>
    <w:p w14:paraId="389FD1D8"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Schumann, W. O. On the global electromagnetic resonances of the Earth-ionosphere cavity.</w:t>
      </w:r>
    </w:p>
    <w:p w14:paraId="664215F2" w14:textId="77777777" w:rsidR="00CA5E09" w:rsidRPr="00CA5E09" w:rsidRDefault="00CA5E09" w:rsidP="00CA5E09">
      <w:pPr>
        <w:spacing w:before="100" w:beforeAutospacing="1" w:after="100" w:afterAutospacing="1" w:line="240" w:lineRule="auto"/>
        <w:rPr>
          <w:rFonts w:cs="Times New Roman"/>
          <w:szCs w:val="24"/>
        </w:rPr>
      </w:pPr>
      <w:r w:rsidRPr="00CA5E09">
        <w:rPr>
          <w:rFonts w:cs="Times New Roman"/>
          <w:szCs w:val="24"/>
        </w:rPr>
        <w:t>Public reports and media releases regarding the Buga Sphere (2025), pending independent verification.</w:t>
      </w:r>
    </w:p>
    <w:p w14:paraId="384AE656" w14:textId="01B0C0C3" w:rsidR="00EF32F1" w:rsidRPr="00CA5E09" w:rsidRDefault="00CA5E09" w:rsidP="00CA5E09">
      <w:r>
        <w:rPr>
          <w:noProof/>
        </w:rPr>
        <w:drawing>
          <wp:inline distT="0" distB="0" distL="0" distR="0" wp14:anchorId="74DFBA66" wp14:editId="1F6E1F79">
            <wp:extent cx="5486400" cy="2995295"/>
            <wp:effectExtent l="0" t="0" r="0" b="0"/>
            <wp:docPr id="98138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85634" name="Picture 981385634"/>
                    <pic:cNvPicPr/>
                  </pic:nvPicPr>
                  <pic:blipFill>
                    <a:blip r:embed="rId6"/>
                    <a:stretch>
                      <a:fillRect/>
                    </a:stretch>
                  </pic:blipFill>
                  <pic:spPr>
                    <a:xfrm>
                      <a:off x="0" y="0"/>
                      <a:ext cx="5486400" cy="2995295"/>
                    </a:xfrm>
                    <a:prstGeom prst="rect">
                      <a:avLst/>
                    </a:prstGeom>
                  </pic:spPr>
                </pic:pic>
              </a:graphicData>
            </a:graphic>
          </wp:inline>
        </w:drawing>
      </w:r>
    </w:p>
    <w:sectPr w:rsidR="00EF32F1" w:rsidRPr="00CA5E0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1365695">
    <w:abstractNumId w:val="8"/>
  </w:num>
  <w:num w:numId="2" w16cid:durableId="470680348">
    <w:abstractNumId w:val="6"/>
  </w:num>
  <w:num w:numId="3" w16cid:durableId="2070877618">
    <w:abstractNumId w:val="5"/>
  </w:num>
  <w:num w:numId="4" w16cid:durableId="1345403732">
    <w:abstractNumId w:val="4"/>
  </w:num>
  <w:num w:numId="5" w16cid:durableId="159973555">
    <w:abstractNumId w:val="7"/>
  </w:num>
  <w:num w:numId="6" w16cid:durableId="1939479809">
    <w:abstractNumId w:val="3"/>
  </w:num>
  <w:num w:numId="7" w16cid:durableId="1386953207">
    <w:abstractNumId w:val="2"/>
  </w:num>
  <w:num w:numId="8" w16cid:durableId="1964731534">
    <w:abstractNumId w:val="1"/>
  </w:num>
  <w:num w:numId="9" w16cid:durableId="1796866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EA5"/>
    <w:rsid w:val="000F016D"/>
    <w:rsid w:val="0015074B"/>
    <w:rsid w:val="00257D99"/>
    <w:rsid w:val="0029639D"/>
    <w:rsid w:val="00311C40"/>
    <w:rsid w:val="00326F90"/>
    <w:rsid w:val="00AA1D8D"/>
    <w:rsid w:val="00B47730"/>
    <w:rsid w:val="00CA5E09"/>
    <w:rsid w:val="00CB0664"/>
    <w:rsid w:val="00EF32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2C2AA"/>
  <w14:defaultImageDpi w14:val="300"/>
  <w15:docId w15:val="{97615D28-544F-46DD-A44F-0A76C18E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1374</Words>
  <Characters>7837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4</cp:revision>
  <dcterms:created xsi:type="dcterms:W3CDTF">2013-12-23T23:15:00Z</dcterms:created>
  <dcterms:modified xsi:type="dcterms:W3CDTF">2026-04-23T17:26:00Z</dcterms:modified>
  <cp:category/>
</cp:coreProperties>
</file>