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74727" w14:textId="77777777" w:rsidR="005A71CC" w:rsidRPr="005A71CC" w:rsidRDefault="005A71CC" w:rsidP="005A71C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5A71CC">
        <w:rPr>
          <w:rFonts w:ascii="Times New Roman" w:eastAsia="Times New Roman" w:hAnsi="Times New Roman" w:cs="Times New Roman"/>
          <w:b/>
          <w:bCs/>
          <w:kern w:val="36"/>
          <w:sz w:val="48"/>
          <w:szCs w:val="48"/>
        </w:rPr>
        <w:t>Photon Flux, Environmental Modulation, and a Unified Energy–Time–Spacetime Framework with CST Synchronization and Voyager-Based Timing Geometry</w:t>
      </w:r>
    </w:p>
    <w:p w14:paraId="5B017404"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Abstract</w:t>
      </w:r>
    </w:p>
    <w:p w14:paraId="61CC96EA"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Photons, as quanta of the electromagnetic field, provide a measurable interface between quantum mechanics, classical electrodynamics, and relativistic spacetime structure. This work develops a unified framework that connects photon energy, flux, radiation pressure, and environmental variability into a coherent energy–time–spacetime formulation. The framework extends beyond conventional radiative models by introducing a structured environmental modulation field and coupling it to temporal synchronization through a Curvature Synchronization Theory (CST) construct. A three-point timing geometry defined by Earth, Voyager 1, and Voyager 2 </w:t>
      </w:r>
      <w:proofErr w:type="gramStart"/>
      <w:r w:rsidRPr="005A71CC">
        <w:rPr>
          <w:rFonts w:ascii="Times New Roman" w:eastAsia="Times New Roman" w:hAnsi="Times New Roman" w:cs="Times New Roman"/>
          <w:sz w:val="24"/>
          <w:szCs w:val="24"/>
        </w:rPr>
        <w:t>is</w:t>
      </w:r>
      <w:proofErr w:type="gramEnd"/>
      <w:r w:rsidRPr="005A71CC">
        <w:rPr>
          <w:rFonts w:ascii="Times New Roman" w:eastAsia="Times New Roman" w:hAnsi="Times New Roman" w:cs="Times New Roman"/>
          <w:sz w:val="24"/>
          <w:szCs w:val="24"/>
        </w:rPr>
        <w:t xml:space="preserve"> introduced as a real-world interstellar baseline for measuring timing mismatch across large spatial separations. By embedding photon energy density within the stress–energy tensor, the model establishes a consistent bridge to general relativity. The resulting formulation produces a unified invariant equation linking photon flux to temporal drift and spacetime response, while remaining fully testable using existing photonic and timing technologies.</w:t>
      </w:r>
    </w:p>
    <w:p w14:paraId="00C68A92"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Introduction</w:t>
      </w:r>
    </w:p>
    <w:p w14:paraId="5BBEA44E"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quantization of electromagnetic radiation introduced by Max Planck and extended through the work of Albert Einstein established photons as discrete carriers of energy and momentum. These developments enabled precise formulations of photon energy, irradiance, and radiation pressure, which today underpin both theoretical physics and engineering systems.</w:t>
      </w:r>
    </w:p>
    <w:p w14:paraId="3BB2370E"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While these relations are well understood individually, they are rarely treated as components of a unified system linking quantum energy flow, macroscopic force, and temporal synchronization. Modern advancements in precision timing and deep-space measurement systems motivate a reformulation in which photon fields are interpreted not only as energy carriers but also as contributors to time-referenced processes.</w:t>
      </w:r>
    </w:p>
    <w:p w14:paraId="3EF6D68C"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work introduces a layered framework in which photon energy, flux, density, spacetime coupling, and timing synchronization are combined into a single invariant structure. The addition of a Voyager-based timing triangle provides a physically grounded interstellar reference system for evaluating temporal coherence across large distances.</w:t>
      </w:r>
    </w:p>
    <w:p w14:paraId="1E91971F"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lastRenderedPageBreak/>
        <w:t>Unified Energy–Flux–Spacetime Relation</w:t>
      </w:r>
    </w:p>
    <w:p w14:paraId="525F4711"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energy of a photon is defined by the Planck relation</w:t>
      </w:r>
    </w:p>
    <w:p w14:paraId="2C3649F8"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E=</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hc</m:t>
              </m:r>
            </m:num>
            <m:den>
              <m:r>
                <w:rPr>
                  <w:rFonts w:ascii="Cambria Math" w:eastAsia="Times New Roman" w:hAnsi="Cambria Math" w:cs="Times New Roman"/>
                  <w:sz w:val="24"/>
                  <w:szCs w:val="24"/>
                </w:rPr>
                <m:t>λ</m:t>
              </m:r>
            </m:den>
          </m:f>
          <m:r>
            <w:rPr>
              <w:rFonts w:ascii="Cambria Math" w:eastAsia="Times New Roman" w:hAnsi="Cambria Math" w:cs="Times New Roman"/>
              <w:sz w:val="24"/>
              <w:szCs w:val="24"/>
            </w:rPr>
            <w:br/>
          </m:r>
        </m:oMath>
      </m:oMathPara>
    </w:p>
    <w:p w14:paraId="39C06D0F"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where </w:t>
      </w:r>
      <m:oMath>
        <m:r>
          <w:rPr>
            <w:rFonts w:ascii="Cambria Math" w:eastAsia="Times New Roman" w:hAnsi="Cambria Math" w:cs="Times New Roman"/>
            <w:sz w:val="24"/>
            <w:szCs w:val="24"/>
          </w:rPr>
          <m:t>h</m:t>
        </m:r>
      </m:oMath>
      <w:r w:rsidRPr="005A71CC">
        <w:rPr>
          <w:rFonts w:ascii="Times New Roman" w:eastAsia="Times New Roman" w:hAnsi="Times New Roman" w:cs="Times New Roman"/>
          <w:sz w:val="24"/>
          <w:szCs w:val="24"/>
        </w:rPr>
        <w:t xml:space="preserve">is Planck’s constant, </w:t>
      </w:r>
      <m:oMath>
        <m:r>
          <w:rPr>
            <w:rFonts w:ascii="Cambria Math" w:eastAsia="Times New Roman" w:hAnsi="Cambria Math" w:cs="Times New Roman"/>
            <w:sz w:val="24"/>
            <w:szCs w:val="24"/>
          </w:rPr>
          <m:t>c</m:t>
        </m:r>
      </m:oMath>
      <w:r w:rsidRPr="005A71CC">
        <w:rPr>
          <w:rFonts w:ascii="Times New Roman" w:eastAsia="Times New Roman" w:hAnsi="Times New Roman" w:cs="Times New Roman"/>
          <w:sz w:val="24"/>
          <w:szCs w:val="24"/>
        </w:rPr>
        <w:t xml:space="preserve">is the speed of light, and </w:t>
      </w:r>
      <m:oMath>
        <m:r>
          <w:rPr>
            <w:rFonts w:ascii="Cambria Math" w:eastAsia="Times New Roman" w:hAnsi="Cambria Math" w:cs="Times New Roman"/>
            <w:sz w:val="24"/>
            <w:szCs w:val="24"/>
          </w:rPr>
          <m:t>λ</m:t>
        </m:r>
      </m:oMath>
      <w:r w:rsidRPr="005A71CC">
        <w:rPr>
          <w:rFonts w:ascii="Times New Roman" w:eastAsia="Times New Roman" w:hAnsi="Times New Roman" w:cs="Times New Roman"/>
          <w:sz w:val="24"/>
          <w:szCs w:val="24"/>
        </w:rPr>
        <w:t xml:space="preserve">is the wavelength. Irradiance </w:t>
      </w:r>
      <m:oMath>
        <m:r>
          <w:rPr>
            <w:rFonts w:ascii="Cambria Math" w:eastAsia="Times New Roman" w:hAnsi="Cambria Math" w:cs="Times New Roman"/>
            <w:sz w:val="24"/>
            <w:szCs w:val="24"/>
          </w:rPr>
          <m:t>I</m:t>
        </m:r>
      </m:oMath>
      <w:r w:rsidRPr="005A71CC">
        <w:rPr>
          <w:rFonts w:ascii="Times New Roman" w:eastAsia="Times New Roman" w:hAnsi="Times New Roman" w:cs="Times New Roman"/>
          <w:sz w:val="24"/>
          <w:szCs w:val="24"/>
        </w:rPr>
        <w:t>, defined as energy per unit area per unit time, determines photon flux</w:t>
      </w:r>
    </w:p>
    <w:p w14:paraId="2624BA9B"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I</m:t>
              </m:r>
            </m:num>
            <m:den>
              <m:r>
                <w:rPr>
                  <w:rFonts w:ascii="Cambria Math" w:eastAsia="Times New Roman" w:hAnsi="Cambria Math" w:cs="Times New Roman"/>
                  <w:sz w:val="24"/>
                  <w:szCs w:val="24"/>
                </w:rPr>
                <m:t>E</m:t>
              </m:r>
            </m:den>
          </m:f>
          <m:r>
            <w:rPr>
              <w:rFonts w:ascii="Cambria Math" w:eastAsia="Times New Roman" w:hAnsi="Cambria Math" w:cs="Times New Roman"/>
              <w:sz w:val="24"/>
              <w:szCs w:val="24"/>
            </w:rPr>
            <w:br/>
          </m:r>
        </m:oMath>
      </m:oMathPara>
    </w:p>
    <w:p w14:paraId="6A17A432"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Radiation pressure arises from momentum transfer and is given by</w:t>
      </w:r>
    </w:p>
    <w:p w14:paraId="280314D7"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I</m:t>
              </m:r>
            </m:num>
            <m:den>
              <m:r>
                <w:rPr>
                  <w:rFonts w:ascii="Cambria Math" w:eastAsia="Times New Roman" w:hAnsi="Cambria Math" w:cs="Times New Roman"/>
                  <w:sz w:val="24"/>
                  <w:szCs w:val="24"/>
                </w:rPr>
                <m:t>c</m:t>
              </m:r>
            </m:den>
          </m:f>
          <m:r>
            <w:rPr>
              <w:rFonts w:ascii="Cambria Math" w:eastAsia="Times New Roman" w:hAnsi="Cambria Math" w:cs="Times New Roman"/>
              <w:sz w:val="24"/>
              <w:szCs w:val="24"/>
            </w:rPr>
            <w:br/>
          </m:r>
        </m:oMath>
      </m:oMathPara>
    </w:p>
    <w:p w14:paraId="19434D8E"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Substituting the expression for photon flux into irradiance yields a unified flow relation</w:t>
      </w:r>
    </w:p>
    <w:p w14:paraId="46030512"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I=</m:t>
          </m:r>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E</m:t>
          </m:r>
          <m:r>
            <w:rPr>
              <w:rFonts w:ascii="Cambria Math" w:eastAsia="Times New Roman" w:hAnsi="Cambria Math" w:cs="Times New Roman"/>
              <w:i/>
              <w:sz w:val="24"/>
              <w:szCs w:val="24"/>
            </w:rPr>
            <w:br/>
          </m:r>
        </m:oMath>
      </m:oMathPara>
    </w:p>
    <w:p w14:paraId="7CE65E20"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which allows radiation pressure to be expressed entirely in terms of photon properties</w:t>
      </w:r>
    </w:p>
    <w:p w14:paraId="2CB5E29E"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E</m:t>
              </m:r>
            </m:num>
            <m:den>
              <m:r>
                <w:rPr>
                  <w:rFonts w:ascii="Cambria Math" w:eastAsia="Times New Roman" w:hAnsi="Cambria Math" w:cs="Times New Roman"/>
                  <w:sz w:val="24"/>
                  <w:szCs w:val="24"/>
                </w:rPr>
                <m:t>c</m:t>
              </m:r>
            </m:den>
          </m:f>
          <m:r>
            <w:rPr>
              <w:rFonts w:ascii="Cambria Math" w:eastAsia="Times New Roman" w:hAnsi="Cambria Math" w:cs="Times New Roman"/>
              <w:sz w:val="24"/>
              <w:szCs w:val="24"/>
            </w:rPr>
            <w:br/>
          </m:r>
        </m:oMath>
      </m:oMathPara>
    </w:p>
    <w:p w14:paraId="58C39DF0"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Substituting the photon energy expression results in</w:t>
      </w:r>
    </w:p>
    <w:p w14:paraId="638EF885"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hc</m:t>
              </m:r>
            </m:num>
            <m:den>
              <m:r>
                <w:rPr>
                  <w:rFonts w:ascii="Cambria Math" w:eastAsia="Times New Roman" w:hAnsi="Cambria Math" w:cs="Times New Roman"/>
                  <w:sz w:val="24"/>
                  <w:szCs w:val="24"/>
                </w:rPr>
                <m:t>λc</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h</m:t>
              </m:r>
            </m:num>
            <m:den>
              <m:r>
                <w:rPr>
                  <w:rFonts w:ascii="Cambria Math" w:eastAsia="Times New Roman" w:hAnsi="Cambria Math" w:cs="Times New Roman"/>
                  <w:sz w:val="24"/>
                  <w:szCs w:val="24"/>
                </w:rPr>
                <m:t>λ</m:t>
              </m:r>
            </m:den>
          </m:f>
          <m:r>
            <w:rPr>
              <w:rFonts w:ascii="Cambria Math" w:eastAsia="Times New Roman" w:hAnsi="Cambria Math" w:cs="Times New Roman"/>
              <w:sz w:val="24"/>
              <w:szCs w:val="24"/>
            </w:rPr>
            <w:br/>
          </m:r>
        </m:oMath>
      </m:oMathPara>
    </w:p>
    <w:p w14:paraId="7EE0FB93"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relation unifies photon count, quantum scale, geometric wavelength, and macroscopic force into a single expression, demonstrating that radiation pressure is a direct manifestation of structured photon flow.</w:t>
      </w:r>
    </w:p>
    <w:p w14:paraId="182040DF"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Energy Density and Spacetime Coupling</w:t>
      </w:r>
    </w:p>
    <w:p w14:paraId="28657844"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physically relevant quantity for spacetime interaction is energy density, defined as</w:t>
      </w:r>
    </w:p>
    <w:p w14:paraId="57C38698"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w:lastRenderedPageBreak/>
            <m:t>ρ=</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I</m:t>
              </m:r>
            </m:num>
            <m:den>
              <m:r>
                <w:rPr>
                  <w:rFonts w:ascii="Cambria Math" w:eastAsia="Times New Roman" w:hAnsi="Cambria Math" w:cs="Times New Roman"/>
                  <w:sz w:val="24"/>
                  <w:szCs w:val="24"/>
                </w:rPr>
                <m:t>c</m:t>
              </m:r>
            </m:den>
          </m:f>
          <m:r>
            <w:rPr>
              <w:rFonts w:ascii="Cambria Math" w:eastAsia="Times New Roman" w:hAnsi="Cambria Math" w:cs="Times New Roman"/>
              <w:sz w:val="24"/>
              <w:szCs w:val="24"/>
            </w:rPr>
            <w:br/>
          </m:r>
        </m:oMath>
      </m:oMathPara>
    </w:p>
    <w:p w14:paraId="030F5069"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quantity enters the stress–energy tensor in the field equations of general relativity developed by Albert Einstein</w:t>
      </w:r>
    </w:p>
    <w:p w14:paraId="7D8C81CA"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Λ</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8πG</m:t>
              </m:r>
            </m:num>
            <m:den>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4</m:t>
                  </m:r>
                </m:sup>
              </m:sSup>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w:br/>
          </m:r>
        </m:oMath>
      </m:oMathPara>
    </w:p>
    <w:p w14:paraId="125C24B0"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For a photon field, the stress–energy tensor can be approximated as</w:t>
      </w:r>
    </w:p>
    <w:p w14:paraId="73F8398B"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sSubSup>
            <m:sSubSupPr>
              <m:ctrlPr>
                <w:rPr>
                  <w:rFonts w:ascii="Cambria Math" w:eastAsia="Times New Roman" w:hAnsi="Cambria Math" w:cs="Times New Roman"/>
                  <w:sz w:val="24"/>
                  <w:szCs w:val="24"/>
                </w:rPr>
              </m:ctrlPr>
            </m:sSubSupPr>
            <m:e>
              <m:r>
                <w:rPr>
                  <w:rFonts w:ascii="Cambria Math" w:eastAsia="Times New Roman" w:hAnsi="Cambria Math" w:cs="Times New Roman"/>
                  <w:sz w:val="24"/>
                  <w:szCs w:val="24"/>
                </w:rPr>
                <m:t>T</m:t>
              </m:r>
            </m:e>
            <m:sub>
              <m:r>
                <w:rPr>
                  <w:rFonts w:ascii="Cambria Math" w:eastAsia="Times New Roman" w:hAnsi="Cambria Math" w:cs="Times New Roman"/>
                  <w:sz w:val="24"/>
                  <w:szCs w:val="24"/>
                </w:rPr>
                <m:t>μν</m:t>
              </m:r>
            </m:sub>
            <m:sup>
              <m:d>
                <m:dPr>
                  <m:ctrlPr>
                    <w:rPr>
                      <w:rFonts w:ascii="Cambria Math" w:eastAsia="Times New Roman" w:hAnsi="Cambria Math" w:cs="Times New Roman"/>
                      <w:sz w:val="24"/>
                      <w:szCs w:val="24"/>
                    </w:rPr>
                  </m:ctrlPr>
                </m:dPr>
                <m:e>
                  <m:r>
                    <m:rPr>
                      <m:nor/>
                    </m:rPr>
                    <w:rPr>
                      <w:rFonts w:ascii="Times New Roman" w:eastAsia="Times New Roman" w:hAnsi="Times New Roman" w:cs="Times New Roman"/>
                      <w:sz w:val="24"/>
                      <w:szCs w:val="24"/>
                    </w:rPr>
                    <m:t>photon</m:t>
                  </m:r>
                </m:e>
              </m:d>
            </m:sup>
          </m:sSubSup>
          <m:r>
            <w:rPr>
              <w:rFonts w:ascii="Cambria Math" w:eastAsia="Times New Roman" w:hAnsi="Cambria Math" w:cs="Times New Roman"/>
              <w:sz w:val="24"/>
              <w:szCs w:val="24"/>
            </w:rPr>
            <m:t>∼ρ</m:t>
          </m:r>
          <m:r>
            <m:rPr>
              <m:nor/>
            </m:rPr>
            <w:rPr>
              <w:rFonts w:ascii="Times New Roman" w:eastAsia="Times New Roman" w:hAnsi="Times New Roman" w:cs="Times New Roman"/>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μ</m:t>
              </m:r>
            </m:sub>
          </m:s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ν</m:t>
              </m:r>
            </m:sub>
          </m:sSub>
          <m:r>
            <w:rPr>
              <w:rFonts w:ascii="Cambria Math" w:eastAsia="Times New Roman" w:hAnsi="Cambria Math" w:cs="Times New Roman"/>
              <w:sz w:val="24"/>
              <w:szCs w:val="24"/>
            </w:rPr>
            <w:br/>
          </m:r>
        </m:oMath>
      </m:oMathPara>
    </w:p>
    <w:p w14:paraId="14C47FE3"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where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μ</m:t>
            </m:r>
          </m:sub>
        </m:sSub>
      </m:oMath>
      <w:r w:rsidRPr="005A71CC">
        <w:rPr>
          <w:rFonts w:ascii="Times New Roman" w:eastAsia="Times New Roman" w:hAnsi="Times New Roman" w:cs="Times New Roman"/>
          <w:sz w:val="24"/>
          <w:szCs w:val="24"/>
        </w:rPr>
        <w:t>represents the propagation direction of the radiation field. This formulation embeds photon energy directly into spacetime curvature, linking electromagnetic processes to gravitational structure.</w:t>
      </w:r>
    </w:p>
    <w:p w14:paraId="516ADAA4"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Environmental Photon Variability Field</w:t>
      </w:r>
    </w:p>
    <w:p w14:paraId="0B52A1BE"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Photon intensity in natural environments varies across multiple temporal scales due to solar cycles, planetary rotation, and atmospheric effects. This variability is formalized as an Environmental Photon Variability Field</w:t>
      </w:r>
    </w:p>
    <w:p w14:paraId="7C13B988"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I(t,</m:t>
          </m:r>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Sub>
          <m:d>
            <m:dPr>
              <m:begChr m:val="["/>
              <m:endChr m:val="]"/>
              <m:ctrlPr>
                <w:rPr>
                  <w:rFonts w:ascii="Cambria Math" w:eastAsia="Times New Roman" w:hAnsi="Cambria Math" w:cs="Times New Roman"/>
                  <w:sz w:val="24"/>
                  <w:szCs w:val="24"/>
                </w:rPr>
              </m:ctrlPr>
            </m:dPr>
            <m:e>
              <m:r>
                <w:rPr>
                  <w:rFonts w:ascii="Cambria Math" w:eastAsia="Times New Roman" w:hAnsi="Cambria Math" w:cs="Times New Roman"/>
                  <w:sz w:val="24"/>
                  <w:szCs w:val="24"/>
                </w:rPr>
                <m:t>1+</m:t>
              </m:r>
              <m:nary>
                <m:naryPr>
                  <m:chr m:val="∑"/>
                  <m:limLoc m:val="undOvr"/>
                  <m:grow m:val="1"/>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i</m:t>
                  </m: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i</m:t>
                      </m:r>
                    </m:sub>
                  </m:sSub>
                </m:e>
              </m:nary>
              <m:r>
                <m:rPr>
                  <m:sty m:val="p"/>
                </m:rPr>
                <w:rPr>
                  <w:rFonts w:ascii="Cambria Math" w:eastAsia="Times New Roman" w:hAnsi="Cambria Math" w:cs="Times New Roman"/>
                  <w:sz w:val="24"/>
                  <w:szCs w:val="24"/>
                </w:rPr>
                <m:t>sin</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ϕ</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e>
          </m:d>
          <m:r>
            <w:rPr>
              <w:rFonts w:ascii="Cambria Math" w:eastAsia="Times New Roman" w:hAnsi="Cambria Math" w:cs="Times New Roman"/>
              <w:sz w:val="24"/>
              <w:szCs w:val="24"/>
            </w:rPr>
            <w:br/>
          </m:r>
        </m:oMath>
      </m:oMathPara>
    </w:p>
    <w:p w14:paraId="1BC18980"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representation captures structured modulation rather than random fluctuation, enabling predictive modeling of photon field dynamics. The field serves as an input to both energy flow calculations and temporal synchronization processes.</w:t>
      </w:r>
    </w:p>
    <w:p w14:paraId="6AC4A6F9"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CST Timing Framework and Multi-Clock Structure</w:t>
      </w:r>
    </w:p>
    <w:p w14:paraId="1546967F"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A central extension of the model is the introduction of multiple time references. Atomic time represents a stable terrestrial reference derived from atomic transitions. CST time is defined as a synchronized operational time within a controlled system. Interstellar time is defined as the propagation-consistent time measured across large spatial separations.</w:t>
      </w:r>
    </w:p>
    <w:p w14:paraId="5008392A"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timing mismatch between local and reference systems is defined as</w:t>
      </w:r>
    </w:p>
    <w:p w14:paraId="6685CE7B"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w:lastRenderedPageBreak/>
            <m:t>Δ</m:t>
          </m:r>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local</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reference</m:t>
              </m:r>
            </m:sub>
          </m:sSub>
          <m:r>
            <w:rPr>
              <w:rFonts w:ascii="Cambria Math" w:eastAsia="Times New Roman" w:hAnsi="Cambria Math" w:cs="Times New Roman"/>
              <w:sz w:val="24"/>
              <w:szCs w:val="24"/>
            </w:rPr>
            <w:br/>
          </m:r>
        </m:oMath>
      </m:oMathPara>
    </w:p>
    <w:p w14:paraId="364F36CD"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Photon variability introduces a coupling between energy flow and time drift, expressed as</w:t>
      </w:r>
    </w:p>
    <w:p w14:paraId="17F62274"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δI(t)</m:t>
              </m:r>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Sub>
            </m:den>
          </m:f>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dt</m:t>
          </m:r>
          <m:r>
            <w:rPr>
              <w:rFonts w:ascii="Cambria Math" w:eastAsia="Times New Roman" w:hAnsi="Cambria Math" w:cs="Times New Roman"/>
              <w:i/>
              <w:sz w:val="24"/>
              <w:szCs w:val="24"/>
            </w:rPr>
            <w:br/>
          </m:r>
        </m:oMath>
      </m:oMathPara>
    </w:p>
    <w:p w14:paraId="589476A9"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establishes photon fields as contributors to temporal synchronization, not merely energy transport.</w:t>
      </w:r>
    </w:p>
    <w:p w14:paraId="529905EA"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Voyager-Based CST Timing Triangle</w:t>
      </w:r>
    </w:p>
    <w:p w14:paraId="5384B7A6"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A physically grounded implementation of the timing framework is constructed using Earth, Voyager 1, and Voyager 2. </w:t>
      </w:r>
      <w:proofErr w:type="gramStart"/>
      <w:r w:rsidRPr="005A71CC">
        <w:rPr>
          <w:rFonts w:ascii="Times New Roman" w:eastAsia="Times New Roman" w:hAnsi="Times New Roman" w:cs="Times New Roman"/>
          <w:sz w:val="24"/>
          <w:szCs w:val="24"/>
        </w:rPr>
        <w:t>These spacecraft</w:t>
      </w:r>
      <w:proofErr w:type="gramEnd"/>
      <w:r w:rsidRPr="005A71CC">
        <w:rPr>
          <w:rFonts w:ascii="Times New Roman" w:eastAsia="Times New Roman" w:hAnsi="Times New Roman" w:cs="Times New Roman"/>
          <w:sz w:val="24"/>
          <w:szCs w:val="24"/>
        </w:rPr>
        <w:t>, positioned at vast distances in interstellar space, provide a natural three-point geometry for measuring timing differences.</w:t>
      </w:r>
    </w:p>
    <w:p w14:paraId="25864CC0"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timing relationships are defined as</w:t>
      </w:r>
    </w:p>
    <w:p w14:paraId="2C3B1561"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V1</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V2</m:t>
              </m:r>
            </m:sub>
          </m:sSub>
          <m:r>
            <w:rPr>
              <w:rFonts w:ascii="Cambria Math" w:eastAsia="Times New Roman" w:hAnsi="Cambria Math" w:cs="Times New Roman"/>
              <w:sz w:val="24"/>
              <w:szCs w:val="24"/>
            </w:rPr>
            <w:br/>
          </m:r>
        </m:oMath>
      </m:oMathPara>
    </w:p>
    <w:p w14:paraId="71AFE37B"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with corresponding propagation delays determined by distance and light speed. The CST triangle mismatch is expressed as</w:t>
      </w:r>
    </w:p>
    <w:p w14:paraId="03B6DD33"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V1</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V2</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V2</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V1</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br/>
          </m:r>
        </m:oMath>
      </m:oMathPara>
    </w:p>
    <w:p w14:paraId="19509637"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This expression isolates synchronization </w:t>
      </w:r>
      <w:proofErr w:type="gramStart"/>
      <w:r w:rsidRPr="005A71CC">
        <w:rPr>
          <w:rFonts w:ascii="Times New Roman" w:eastAsia="Times New Roman" w:hAnsi="Times New Roman" w:cs="Times New Roman"/>
          <w:sz w:val="24"/>
          <w:szCs w:val="24"/>
        </w:rPr>
        <w:t>error</w:t>
      </w:r>
      <w:proofErr w:type="gramEnd"/>
      <w:r w:rsidRPr="005A71CC">
        <w:rPr>
          <w:rFonts w:ascii="Times New Roman" w:eastAsia="Times New Roman" w:hAnsi="Times New Roman" w:cs="Times New Roman"/>
          <w:sz w:val="24"/>
          <w:szCs w:val="24"/>
        </w:rPr>
        <w:t xml:space="preserve"> independent of absolute distance, allowing direct measurement of timing coherence across interstellar scales.</w:t>
      </w:r>
    </w:p>
    <w:p w14:paraId="439F87A8"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Unified Invariant Equation (Holy Grail Framework)</w:t>
      </w:r>
    </w:p>
    <w:p w14:paraId="5A242367"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integration of photon flow, environmental modulation, and timing synchronization produces a single invariant structure</w:t>
      </w:r>
    </w:p>
    <w:p w14:paraId="376F0B6C"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
            <m:dPr>
              <m:ctrlPr>
                <w:rPr>
                  <w:rFonts w:ascii="Cambria Math" w:eastAsia="Times New Roman" w:hAnsi="Cambria Math" w:cs="Times New Roman"/>
                  <w:sz w:val="24"/>
                  <w:szCs w:val="24"/>
                </w:rPr>
              </m:ctrlPr>
            </m:dPr>
            <m:e>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h</m:t>
                  </m:r>
                </m:num>
                <m:den>
                  <m:r>
                    <w:rPr>
                      <w:rFonts w:ascii="Cambria Math" w:eastAsia="Times New Roman" w:hAnsi="Cambria Math" w:cs="Times New Roman"/>
                      <w:sz w:val="24"/>
                      <w:szCs w:val="24"/>
                    </w:rPr>
                    <m:t>λc</m:t>
                  </m:r>
                </m:den>
              </m:f>
            </m:e>
          </m:d>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m:rPr>
                  <m:nor/>
                </m:rPr>
                <w:rPr>
                  <w:rFonts w:ascii="Times New Roman" w:eastAsia="Times New Roman" w:hAnsi="Times New Roman" w:cs="Times New Roman"/>
                  <w:sz w:val="24"/>
                  <w:szCs w:val="24"/>
                </w:rPr>
                <m:t>env</m:t>
              </m:r>
            </m:sub>
          </m:sSub>
          <m:r>
            <w:rPr>
              <w:rFonts w:ascii="Cambria Math" w:eastAsia="Times New Roman" w:hAnsi="Cambria Math" w:cs="Times New Roman"/>
              <w:sz w:val="24"/>
              <w:szCs w:val="24"/>
            </w:rPr>
            <m:t>(t,</m:t>
          </m:r>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dt</m:t>
          </m:r>
          <m:r>
            <w:rPr>
              <w:rFonts w:ascii="Cambria Math" w:eastAsia="Times New Roman" w:hAnsi="Cambria Math" w:cs="Times New Roman"/>
              <w:i/>
              <w:sz w:val="24"/>
              <w:szCs w:val="24"/>
            </w:rPr>
            <w:br/>
          </m:r>
        </m:oMath>
      </m:oMathPara>
    </w:p>
    <w:p w14:paraId="3A160261"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where the term</w:t>
      </w:r>
    </w:p>
    <w:p w14:paraId="79661C66" w14:textId="77777777" w:rsidR="005A71CC" w:rsidRPr="005A71CC" w:rsidRDefault="005A71CC" w:rsidP="005A71CC">
      <w:pPr>
        <w:spacing w:after="0" w:line="240" w:lineRule="auto"/>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h</m:t>
              </m:r>
            </m:num>
            <m:den>
              <m:r>
                <w:rPr>
                  <w:rFonts w:ascii="Cambria Math" w:eastAsia="Times New Roman" w:hAnsi="Cambria Math" w:cs="Times New Roman"/>
                  <w:sz w:val="24"/>
                  <w:szCs w:val="24"/>
                </w:rPr>
                <m:t>λ</m:t>
              </m:r>
            </m:den>
          </m:f>
          <m:r>
            <w:rPr>
              <w:rFonts w:ascii="Cambria Math" w:eastAsia="Times New Roman" w:hAnsi="Cambria Math" w:cs="Times New Roman"/>
              <w:sz w:val="24"/>
              <w:szCs w:val="24"/>
            </w:rPr>
            <w:br/>
          </m:r>
        </m:oMath>
      </m:oMathPara>
    </w:p>
    <w:p w14:paraId="5D5C7B1A"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 xml:space="preserve">represents photon-driven energy flow and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m:rPr>
                <m:nor/>
              </m:rPr>
              <w:rPr>
                <w:rFonts w:ascii="Times New Roman" w:eastAsia="Times New Roman" w:hAnsi="Times New Roman" w:cs="Times New Roman"/>
                <w:sz w:val="24"/>
                <w:szCs w:val="24"/>
              </w:rPr>
              <m:t>env</m:t>
            </m:r>
          </m:sub>
        </m:sSub>
      </m:oMath>
      <w:r w:rsidRPr="005A71CC">
        <w:rPr>
          <w:rFonts w:ascii="Times New Roman" w:eastAsia="Times New Roman" w:hAnsi="Times New Roman" w:cs="Times New Roman"/>
          <w:sz w:val="24"/>
          <w:szCs w:val="24"/>
        </w:rPr>
        <w:t>represents environmental modulation. This equation unifies quantum energy, macroscopic force, environmental structure, and temporal drift into a single expression.</w:t>
      </w:r>
    </w:p>
    <w:p w14:paraId="3FEB6CA3"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formulation embodies the central principle that structured energy flow governs not only spatial dynamics but also temporal synchronization.</w:t>
      </w:r>
    </w:p>
    <w:p w14:paraId="45B37B09"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Engineering Applications</w:t>
      </w:r>
    </w:p>
    <w:p w14:paraId="1183EF99"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framework supports photon-based navigation through irradiance gradient detection, enabling orientation in environments lacking conventional signals. Timing systems can incorporate photon flux stability as a correction mechanism for synchronization drift. Radiation pressure provides a validated mechanism for continuous low-thrust propulsion, as demonstrated in solar sail technologies. The Voyager timing triangle further enables deep-space synchronization and navigation through multi-point temporal comparison.</w:t>
      </w:r>
    </w:p>
    <w:p w14:paraId="0D8B8692"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Experimental Validation</w:t>
      </w:r>
    </w:p>
    <w:p w14:paraId="3CB6352E"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The framework is testable using controlled photon sources such as modulated lasers. Precision clocks can measure timing deviations under varying irradiance conditions. Interplanetary and interstellar data from the Voyager missions provide real-world baselines for validating large-scale synchronization models. Failure to detect predicted timing effects under controlled conditions would falsify the proposed coupling, ensuring empirical grounding.</w:t>
      </w:r>
    </w:p>
    <w:p w14:paraId="3522EAA5" w14:textId="77777777"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t>Conclusion</w:t>
      </w:r>
    </w:p>
    <w:p w14:paraId="179099FB"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This work presents a unified framework that integrates photon energy, flux, environmental variability, spacetime coupling, and temporal synchronization into a single invariant structure. The inclusion of a Voyager-based timing triangle provides a physically grounded method for testing synchronization across interstellar distances. By connecting quantum-scale energy flow to macroscopic timing behavior, the framework extends classical electromagnetic theory into a broader domain that includes both spatial and temporal dynamics. The formulation remains consistent with established physics while providing a structured pathway for experimental validation and engineering application.</w:t>
      </w:r>
    </w:p>
    <w:p w14:paraId="7FDB7E0C" w14:textId="77777777" w:rsid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p>
    <w:p w14:paraId="117D0334" w14:textId="77777777" w:rsid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p>
    <w:p w14:paraId="216FE417" w14:textId="227F8779" w:rsidR="005A71CC" w:rsidRPr="005A71CC" w:rsidRDefault="005A71CC" w:rsidP="005A71CC">
      <w:pPr>
        <w:spacing w:before="100" w:beforeAutospacing="1" w:after="100" w:afterAutospacing="1" w:line="240" w:lineRule="auto"/>
        <w:outlineLvl w:val="1"/>
        <w:rPr>
          <w:rFonts w:ascii="Times New Roman" w:eastAsia="Times New Roman" w:hAnsi="Times New Roman" w:cs="Times New Roman"/>
          <w:b/>
          <w:bCs/>
          <w:sz w:val="36"/>
          <w:szCs w:val="36"/>
        </w:rPr>
      </w:pPr>
      <w:r w:rsidRPr="005A71CC">
        <w:rPr>
          <w:rFonts w:ascii="Times New Roman" w:eastAsia="Times New Roman" w:hAnsi="Times New Roman" w:cs="Times New Roman"/>
          <w:b/>
          <w:bCs/>
          <w:sz w:val="36"/>
          <w:szCs w:val="36"/>
        </w:rPr>
        <w:lastRenderedPageBreak/>
        <w:t>References</w:t>
      </w:r>
    </w:p>
    <w:p w14:paraId="5C8DF8C8" w14:textId="77777777" w:rsidR="005A71CC" w:rsidRPr="005A71CC" w:rsidRDefault="005A71CC" w:rsidP="005A71CC">
      <w:pPr>
        <w:spacing w:before="100" w:beforeAutospacing="1" w:after="100" w:afterAutospacing="1" w:line="240" w:lineRule="auto"/>
        <w:rPr>
          <w:rFonts w:ascii="Times New Roman" w:eastAsia="Times New Roman" w:hAnsi="Times New Roman" w:cs="Times New Roman"/>
          <w:sz w:val="24"/>
          <w:szCs w:val="24"/>
        </w:rPr>
      </w:pPr>
      <w:r w:rsidRPr="005A71CC">
        <w:rPr>
          <w:rFonts w:ascii="Times New Roman" w:eastAsia="Times New Roman" w:hAnsi="Times New Roman" w:cs="Times New Roman"/>
          <w:sz w:val="24"/>
          <w:szCs w:val="24"/>
        </w:rPr>
        <w:t>Max Planck</w:t>
      </w:r>
      <w:r w:rsidRPr="005A71CC">
        <w:rPr>
          <w:rFonts w:ascii="Times New Roman" w:eastAsia="Times New Roman" w:hAnsi="Times New Roman" w:cs="Times New Roman"/>
          <w:sz w:val="24"/>
          <w:szCs w:val="24"/>
        </w:rPr>
        <w:br/>
        <w:t>Albert Einstein</w:t>
      </w:r>
      <w:r w:rsidRPr="005A71CC">
        <w:rPr>
          <w:rFonts w:ascii="Times New Roman" w:eastAsia="Times New Roman" w:hAnsi="Times New Roman" w:cs="Times New Roman"/>
          <w:sz w:val="24"/>
          <w:szCs w:val="24"/>
        </w:rPr>
        <w:br/>
        <w:t>Albert Einstein</w:t>
      </w:r>
      <w:r w:rsidRPr="005A71CC">
        <w:rPr>
          <w:rFonts w:ascii="Times New Roman" w:eastAsia="Times New Roman" w:hAnsi="Times New Roman" w:cs="Times New Roman"/>
          <w:sz w:val="24"/>
          <w:szCs w:val="24"/>
        </w:rPr>
        <w:br/>
        <w:t>Voyager 1</w:t>
      </w:r>
      <w:r w:rsidRPr="005A71CC">
        <w:rPr>
          <w:rFonts w:ascii="Times New Roman" w:eastAsia="Times New Roman" w:hAnsi="Times New Roman" w:cs="Times New Roman"/>
          <w:sz w:val="24"/>
          <w:szCs w:val="24"/>
        </w:rPr>
        <w:br/>
        <w:t>Voyager 2</w:t>
      </w:r>
      <w:r w:rsidRPr="005A71CC">
        <w:rPr>
          <w:rFonts w:ascii="Times New Roman" w:eastAsia="Times New Roman" w:hAnsi="Times New Roman" w:cs="Times New Roman"/>
          <w:sz w:val="24"/>
          <w:szCs w:val="24"/>
        </w:rPr>
        <w:br/>
        <w:t>NASA</w:t>
      </w:r>
      <w:r w:rsidRPr="005A71CC">
        <w:rPr>
          <w:rFonts w:ascii="Times New Roman" w:eastAsia="Times New Roman" w:hAnsi="Times New Roman" w:cs="Times New Roman"/>
          <w:sz w:val="24"/>
          <w:szCs w:val="24"/>
        </w:rPr>
        <w:br/>
        <w:t>ASTM International</w:t>
      </w:r>
    </w:p>
    <w:p w14:paraId="389FC36F" w14:textId="5F3FD8F7" w:rsidR="00A15212" w:rsidRPr="005A71CC" w:rsidRDefault="005A71CC" w:rsidP="005A71CC">
      <w:pPr>
        <w:jc w:val="center"/>
      </w:pPr>
      <w:r>
        <w:rPr>
          <w:noProof/>
        </w:rPr>
        <w:drawing>
          <wp:inline distT="0" distB="0" distL="0" distR="0" wp14:anchorId="2F7356C5" wp14:editId="6CEA6C57">
            <wp:extent cx="4016163" cy="6024245"/>
            <wp:effectExtent l="0" t="0" r="3810" b="0"/>
            <wp:docPr id="44431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3813" name="Picture 444313813"/>
                    <pic:cNvPicPr/>
                  </pic:nvPicPr>
                  <pic:blipFill>
                    <a:blip r:embed="rId6"/>
                    <a:stretch>
                      <a:fillRect/>
                    </a:stretch>
                  </pic:blipFill>
                  <pic:spPr>
                    <a:xfrm>
                      <a:off x="0" y="0"/>
                      <a:ext cx="4019153" cy="6028730"/>
                    </a:xfrm>
                    <a:prstGeom prst="rect">
                      <a:avLst/>
                    </a:prstGeom>
                  </pic:spPr>
                </pic:pic>
              </a:graphicData>
            </a:graphic>
          </wp:inline>
        </w:drawing>
      </w:r>
    </w:p>
    <w:sectPr w:rsidR="00A15212" w:rsidRPr="005A71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329178">
    <w:abstractNumId w:val="8"/>
  </w:num>
  <w:num w:numId="2" w16cid:durableId="2139955466">
    <w:abstractNumId w:val="6"/>
  </w:num>
  <w:num w:numId="3" w16cid:durableId="2122868860">
    <w:abstractNumId w:val="5"/>
  </w:num>
  <w:num w:numId="4" w16cid:durableId="186914785">
    <w:abstractNumId w:val="4"/>
  </w:num>
  <w:num w:numId="5" w16cid:durableId="364718236">
    <w:abstractNumId w:val="7"/>
  </w:num>
  <w:num w:numId="6" w16cid:durableId="1598247968">
    <w:abstractNumId w:val="3"/>
  </w:num>
  <w:num w:numId="7" w16cid:durableId="1644650865">
    <w:abstractNumId w:val="2"/>
  </w:num>
  <w:num w:numId="8" w16cid:durableId="1741247072">
    <w:abstractNumId w:val="1"/>
  </w:num>
  <w:num w:numId="9" w16cid:durableId="336731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71CC"/>
    <w:rsid w:val="00A15212"/>
    <w:rsid w:val="00AA1D8D"/>
    <w:rsid w:val="00B47730"/>
    <w:rsid w:val="00CB0664"/>
    <w:rsid w:val="00D62E0B"/>
    <w:rsid w:val="00F248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828626"/>
  <w14:defaultImageDpi w14:val="300"/>
  <w15:docId w15:val="{38AC0441-19A4-4340-921A-141D9F38F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6</Pages>
  <Words>1223</Words>
  <Characters>7024</Characters>
  <Application>Microsoft Office Word</Application>
  <DocSecurity>0</DocSecurity>
  <Lines>200</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2</cp:revision>
  <dcterms:created xsi:type="dcterms:W3CDTF">2013-12-23T23:15:00Z</dcterms:created>
  <dcterms:modified xsi:type="dcterms:W3CDTF">2026-04-19T12:31:00Z</dcterms:modified>
  <cp:category/>
</cp:coreProperties>
</file>