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C3BCC" w14:textId="77777777" w:rsidR="00C54F52" w:rsidRPr="00C54F52" w:rsidRDefault="00C54F52" w:rsidP="00C54F5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54F52">
        <w:rPr>
          <w:rFonts w:ascii="Times New Roman" w:eastAsia="Times New Roman" w:hAnsi="Times New Roman" w:cs="Times New Roman"/>
          <w:b/>
          <w:bCs/>
          <w:kern w:val="36"/>
          <w:sz w:val="48"/>
          <w:szCs w:val="48"/>
        </w:rPr>
        <w:t>Master Equation with Reset Point: Unifying Time, Space, Matter, Energy, Warp, and Vibration</w:t>
      </w:r>
    </w:p>
    <w:p w14:paraId="1CDEC599" w14:textId="77777777"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Abstract</w:t>
      </w:r>
    </w:p>
    <w:p w14:paraId="294F32CF"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This work presents a theoretical framework in which time, space, matter, energy, and vibrational dynamics are unified through a master field anchored to an equilibrium state termed the </w:t>
      </w:r>
      <w:r w:rsidRPr="00C54F52">
        <w:rPr>
          <w:rFonts w:ascii="Times New Roman" w:eastAsia="Times New Roman" w:hAnsi="Times New Roman" w:cs="Times New Roman"/>
          <w:i/>
          <w:iCs/>
          <w:sz w:val="24"/>
          <w:szCs w:val="24"/>
        </w:rPr>
        <w:t>reset point</w:t>
      </w:r>
      <w:r w:rsidRPr="00C54F52">
        <w:rPr>
          <w:rFonts w:ascii="Times New Roman" w:eastAsia="Times New Roman" w:hAnsi="Times New Roman" w:cs="Times New Roman"/>
          <w:sz w:val="24"/>
          <w:szCs w:val="24"/>
        </w:rPr>
        <w:t xml:space="preserve">. The model incorporates atomic time defined by the cesium-133 transition as the external physical reference, while introducing Curvature Synchronization Theory (CST) as an internal synchronization framework for maintaining coherence across relativistic environments. The formulation is extended by explicitly considering the bidirectional relationship between energy and mass through the equivalence principle </w:t>
      </w:r>
      <m:oMath>
        <m:r>
          <w:rPr>
            <w:rFonts w:ascii="Cambria Math" w:eastAsia="Times New Roman" w:hAnsi="Cambria Math" w:cs="Times New Roman"/>
            <w:sz w:val="24"/>
            <w:szCs w:val="24"/>
          </w:rPr>
          <m:t>E=m</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oMath>
      <w:r w:rsidRPr="00C54F52">
        <w:rPr>
          <w:rFonts w:ascii="Times New Roman" w:eastAsia="Times New Roman" w:hAnsi="Times New Roman" w:cs="Times New Roman"/>
          <w:sz w:val="24"/>
          <w:szCs w:val="24"/>
        </w:rPr>
        <w:t xml:space="preserve">and its inverse </w:t>
      </w:r>
      <m:oMath>
        <m:r>
          <w:rPr>
            <w:rFonts w:ascii="Cambria Math" w:eastAsia="Times New Roman" w:hAnsi="Cambria Math" w:cs="Times New Roman"/>
            <w:sz w:val="24"/>
            <w:szCs w:val="24"/>
          </w:rPr>
          <m:t>m=E</m:t>
        </m:r>
        <m:r>
          <m:rPr>
            <m:sty m:val="p"/>
          </m:rP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oMath>
      <w:r w:rsidRPr="00C54F52">
        <w:rPr>
          <w:rFonts w:ascii="Times New Roman" w:eastAsia="Times New Roman" w:hAnsi="Times New Roman" w:cs="Times New Roman"/>
          <w:sz w:val="24"/>
          <w:szCs w:val="24"/>
        </w:rPr>
        <w:t>. This dual formulation enables a conceptual pathway for controlled energy–mass conversion within high-energy field environments. The framework remains theoretical and is structured to allow future experimental validation.</w:t>
      </w:r>
    </w:p>
    <w:p w14:paraId="2FE9108F" w14:textId="527D97D2"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Introduction</w:t>
      </w:r>
    </w:p>
    <w:p w14:paraId="1B2D0FEC"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Time in modern physics is defined operationally through atomic transitions and geometrically through spacetime structure. The cesium-133 atomic transition provides the most precise realization of time, forming the basis for all high-precision clocks.</w:t>
      </w:r>
    </w:p>
    <w:p w14:paraId="2AC89FA3" w14:textId="31E76C78"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Simultaneously, general relativity defines time as a local quantity dependent on motion and gravitational curvature. These two perspective measurements and geometry—are consistent but require synchronization in practical systems.</w:t>
      </w:r>
    </w:p>
    <w:p w14:paraId="6DA0EDF4"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paper introduces a layered framework:</w:t>
      </w:r>
    </w:p>
    <w:p w14:paraId="51D59D41" w14:textId="77777777" w:rsidR="00C54F52" w:rsidRPr="00C54F52" w:rsidRDefault="00C54F52" w:rsidP="00C54F5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Atomic time (external physical reference) </w:t>
      </w:r>
    </w:p>
    <w:p w14:paraId="0AFEAAF2" w14:textId="77777777" w:rsidR="00C54F52" w:rsidRPr="00C54F52" w:rsidRDefault="00C54F52" w:rsidP="00C54F5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Proper time (local relativistic experience) </w:t>
      </w:r>
    </w:p>
    <w:p w14:paraId="66F0C1B4" w14:textId="77777777" w:rsidR="00C54F52" w:rsidRPr="00C54F52" w:rsidRDefault="00C54F52" w:rsidP="00C54F5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CST (synchronization control) </w:t>
      </w:r>
    </w:p>
    <w:p w14:paraId="3D4414A5" w14:textId="77777777" w:rsidR="00C54F52" w:rsidRPr="00C54F52" w:rsidRDefault="00C54F52" w:rsidP="00C54F5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Master field (equilibrium dynamics) </w:t>
      </w:r>
    </w:p>
    <w:p w14:paraId="77D8DA40"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Additionally, the work explores the implications of treating energy–mass equivalence bidirectionally in field dynamics.</w:t>
      </w:r>
    </w:p>
    <w:p w14:paraId="25E026B0"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5C4881D8"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23B04760" w14:textId="2338FCD7"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lastRenderedPageBreak/>
        <w:t>Equilibrium Model and Reset Point</w:t>
      </w:r>
    </w:p>
    <w:p w14:paraId="3CAEE912"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 reset point is defined as the equilibrium configuration of a unified field incorporating:</w:t>
      </w:r>
    </w:p>
    <w:p w14:paraId="1D301E0D" w14:textId="77777777" w:rsidR="00C54F52" w:rsidRPr="00C54F52" w:rsidRDefault="00C54F52" w:rsidP="00C54F5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Time </w:t>
      </w:r>
    </w:p>
    <w:p w14:paraId="59FD8946" w14:textId="77777777" w:rsidR="00C54F52" w:rsidRPr="00C54F52" w:rsidRDefault="00C54F52" w:rsidP="00C54F5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Space </w:t>
      </w:r>
    </w:p>
    <w:p w14:paraId="6E88373E" w14:textId="77777777" w:rsidR="00C54F52" w:rsidRPr="00C54F52" w:rsidRDefault="00C54F52" w:rsidP="00C54F5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Matter </w:t>
      </w:r>
    </w:p>
    <w:p w14:paraId="7ABC262D" w14:textId="77777777" w:rsidR="00C54F52" w:rsidRPr="00C54F52" w:rsidRDefault="00C54F52" w:rsidP="00C54F5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Energy </w:t>
      </w:r>
    </w:p>
    <w:p w14:paraId="1F1198D7" w14:textId="77777777" w:rsidR="00C54F52" w:rsidRPr="00C54F52" w:rsidRDefault="00C54F52" w:rsidP="00C54F5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Vibration </w:t>
      </w:r>
    </w:p>
    <w:p w14:paraId="012139C4"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Below is the conceptual equilibrium diagram:</w:t>
      </w:r>
    </w:p>
    <w:p w14:paraId="72B1B684" w14:textId="77777777" w:rsidR="00C54F52" w:rsidRPr="00C54F52" w:rsidRDefault="00C54F52" w:rsidP="00C54F52">
      <w:pPr>
        <w:spacing w:after="0" w:line="240" w:lineRule="auto"/>
        <w:jc w:val="center"/>
        <w:rPr>
          <w:rFonts w:ascii="Times New Roman" w:eastAsia="Times New Roman" w:hAnsi="Times New Roman" w:cs="Times New Roman"/>
          <w:sz w:val="24"/>
          <w:szCs w:val="24"/>
        </w:rPr>
      </w:pPr>
      <w:r w:rsidRPr="00C54F52">
        <w:rPr>
          <w:rFonts w:ascii="Times New Roman" w:eastAsia="Times New Roman" w:hAnsi="Times New Roman" w:cs="Times New Roman"/>
          <w:noProof/>
          <w:sz w:val="24"/>
          <w:szCs w:val="24"/>
        </w:rPr>
        <w:drawing>
          <wp:inline distT="0" distB="0" distL="0" distR="0" wp14:anchorId="2A21AA63" wp14:editId="467A30C9">
            <wp:extent cx="2990850" cy="2815604"/>
            <wp:effectExtent l="0" t="0" r="0" b="381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6112" cy="2829972"/>
                    </a:xfrm>
                    <a:prstGeom prst="rect">
                      <a:avLst/>
                    </a:prstGeom>
                    <a:noFill/>
                    <a:ln>
                      <a:noFill/>
                    </a:ln>
                  </pic:spPr>
                </pic:pic>
              </a:graphicData>
            </a:graphic>
          </wp:inline>
        </w:drawing>
      </w:r>
    </w:p>
    <w:p w14:paraId="26B3ED80" w14:textId="77777777" w:rsidR="00C54F52" w:rsidRPr="00C54F52" w:rsidRDefault="00C54F52" w:rsidP="00C54F52">
      <w:pPr>
        <w:spacing w:after="0" w:line="240" w:lineRule="auto"/>
        <w:jc w:val="center"/>
        <w:rPr>
          <w:rFonts w:ascii="Times New Roman" w:eastAsia="Times New Roman" w:hAnsi="Times New Roman" w:cs="Times New Roman"/>
          <w:sz w:val="24"/>
          <w:szCs w:val="24"/>
        </w:rPr>
      </w:pPr>
      <w:r w:rsidRPr="00C54F52">
        <w:rPr>
          <w:rFonts w:ascii="Times New Roman" w:eastAsia="Times New Roman" w:hAnsi="Times New Roman" w:cs="Times New Roman"/>
          <w:noProof/>
          <w:sz w:val="24"/>
          <w:szCs w:val="24"/>
        </w:rPr>
        <w:drawing>
          <wp:inline distT="0" distB="0" distL="0" distR="0" wp14:anchorId="52395F22" wp14:editId="5A5ED692">
            <wp:extent cx="3086100" cy="2972565"/>
            <wp:effectExtent l="0" t="0" r="0"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92693" cy="2978915"/>
                    </a:xfrm>
                    <a:prstGeom prst="rect">
                      <a:avLst/>
                    </a:prstGeom>
                    <a:noFill/>
                    <a:ln>
                      <a:noFill/>
                    </a:ln>
                  </pic:spPr>
                </pic:pic>
              </a:graphicData>
            </a:graphic>
          </wp:inline>
        </w:drawing>
      </w:r>
    </w:p>
    <w:p w14:paraId="5FAB1D24" w14:textId="77777777" w:rsidR="00C54F52" w:rsidRPr="00C54F52" w:rsidRDefault="00C54F52" w:rsidP="00C54F52">
      <w:pPr>
        <w:spacing w:after="0" w:line="240" w:lineRule="auto"/>
        <w:jc w:val="center"/>
        <w:rPr>
          <w:rFonts w:ascii="Times New Roman" w:eastAsia="Times New Roman" w:hAnsi="Times New Roman" w:cs="Times New Roman"/>
          <w:sz w:val="24"/>
          <w:szCs w:val="24"/>
        </w:rPr>
      </w:pPr>
      <w:r w:rsidRPr="00C54F52">
        <w:rPr>
          <w:rFonts w:ascii="Times New Roman" w:eastAsia="Times New Roman" w:hAnsi="Times New Roman" w:cs="Times New Roman"/>
          <w:noProof/>
          <w:sz w:val="24"/>
          <w:szCs w:val="24"/>
        </w:rPr>
        <w:lastRenderedPageBreak/>
        <w:drawing>
          <wp:inline distT="0" distB="0" distL="0" distR="0" wp14:anchorId="653AEFE7" wp14:editId="6F553F8B">
            <wp:extent cx="2752725" cy="2649556"/>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54614" cy="2651374"/>
                    </a:xfrm>
                    <a:prstGeom prst="rect">
                      <a:avLst/>
                    </a:prstGeom>
                    <a:noFill/>
                    <a:ln>
                      <a:noFill/>
                    </a:ln>
                  </pic:spPr>
                </pic:pic>
              </a:graphicData>
            </a:graphic>
          </wp:inline>
        </w:drawing>
      </w:r>
    </w:p>
    <w:p w14:paraId="4289DF85" w14:textId="30538FDB" w:rsidR="00C54F52" w:rsidRPr="00C54F52" w:rsidRDefault="00C54F52" w:rsidP="00C54F52">
      <w:pPr>
        <w:spacing w:after="0" w:line="240" w:lineRule="auto"/>
        <w:jc w:val="center"/>
        <w:rPr>
          <w:rFonts w:ascii="Times New Roman" w:eastAsia="Times New Roman" w:hAnsi="Times New Roman" w:cs="Times New Roman"/>
          <w:sz w:val="24"/>
          <w:szCs w:val="24"/>
        </w:rPr>
      </w:pPr>
      <w:r>
        <w:rPr>
          <w:noProof/>
        </w:rPr>
        <w:drawing>
          <wp:inline distT="0" distB="0" distL="0" distR="0" wp14:anchorId="10C2854D" wp14:editId="11808C0E">
            <wp:extent cx="4572000" cy="36764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ter_Reset_Hub_Model.png"/>
                    <pic:cNvPicPr/>
                  </pic:nvPicPr>
                  <pic:blipFill>
                    <a:blip r:embed="rId9"/>
                    <a:stretch>
                      <a:fillRect/>
                    </a:stretch>
                  </pic:blipFill>
                  <pic:spPr>
                    <a:xfrm>
                      <a:off x="0" y="0"/>
                      <a:ext cx="4572000" cy="3676454"/>
                    </a:xfrm>
                    <a:prstGeom prst="rect">
                      <a:avLst/>
                    </a:prstGeom>
                  </pic:spPr>
                </pic:pic>
              </a:graphicData>
            </a:graphic>
          </wp:inline>
        </w:drawing>
      </w:r>
    </w:p>
    <w:p w14:paraId="3E50CB4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In this structure:</w:t>
      </w:r>
    </w:p>
    <w:p w14:paraId="3C944EF2" w14:textId="77777777" w:rsidR="00C54F52" w:rsidRPr="00C54F52" w:rsidRDefault="00C54F52" w:rsidP="00C54F5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The center represents the equilibrium state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oMath>
    </w:p>
    <w:p w14:paraId="20A56B10" w14:textId="77777777" w:rsidR="00C54F52" w:rsidRPr="00C54F52" w:rsidRDefault="00C54F52" w:rsidP="00C54F5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Each axis represents a domain of physics </w:t>
      </w:r>
    </w:p>
    <w:p w14:paraId="050913CA" w14:textId="77777777" w:rsidR="00C54F52" w:rsidRPr="00C54F52" w:rsidRDefault="00C54F52" w:rsidP="00C54F5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Deviations correspond to dynamic field behavior </w:t>
      </w:r>
    </w:p>
    <w:p w14:paraId="4848F118" w14:textId="77777777" w:rsidR="00C54F52" w:rsidRPr="00C54F52" w:rsidRDefault="00C54F52" w:rsidP="00C54F5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Oscillatory return to equilibrium defines stability </w:t>
      </w:r>
    </w:p>
    <w:p w14:paraId="6DF6D2F8"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48B8DF76" w14:textId="0F593FF2"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lastRenderedPageBreak/>
        <w:t>Atomic Time as the External Anchor</w:t>
      </w:r>
    </w:p>
    <w:p w14:paraId="77618988"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 SI second is defined by the hyperfine transition of cesium-133:</w:t>
      </w:r>
    </w:p>
    <w:p w14:paraId="73E6142C"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9,192,631,770</m:t>
          </m:r>
          <m:r>
            <m:rPr>
              <m:nor/>
            </m:rPr>
            <w:rPr>
              <w:rFonts w:ascii="Times New Roman" w:eastAsia="Times New Roman" w:hAnsi="Times New Roman" w:cs="Times New Roman"/>
              <w:sz w:val="24"/>
              <w:szCs w:val="24"/>
            </w:rPr>
            <m:t xml:space="preserve"> cycles per second</m:t>
          </m:r>
          <m:r>
            <m:rPr>
              <m:sty m:val="p"/>
            </m:rPr>
            <w:rPr>
              <w:rFonts w:ascii="Times New Roman" w:eastAsia="Times New Roman" w:hAnsi="Times New Roman" w:cs="Times New Roman"/>
              <w:sz w:val="24"/>
              <w:szCs w:val="24"/>
            </w:rPr>
            <w:br/>
          </m:r>
        </m:oMath>
      </m:oMathPara>
    </w:p>
    <w:p w14:paraId="5CA0E03B"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provides:</w:t>
      </w:r>
    </w:p>
    <w:p w14:paraId="22C72834" w14:textId="77777777" w:rsidR="00C54F52" w:rsidRPr="00C54F52" w:rsidRDefault="00C54F52" w:rsidP="00C54F5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 universal reference for time </w:t>
      </w:r>
    </w:p>
    <w:p w14:paraId="4D5E1487" w14:textId="77777777" w:rsidR="00C54F52" w:rsidRPr="00C54F52" w:rsidRDefault="00C54F52" w:rsidP="00C54F5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The basis for UTC </w:t>
      </w:r>
    </w:p>
    <w:p w14:paraId="2D465D61" w14:textId="77777777" w:rsidR="00C54F52" w:rsidRPr="00C54F52" w:rsidRDefault="00C54F52" w:rsidP="00C54F5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 measurable link to physical reality </w:t>
      </w:r>
    </w:p>
    <w:p w14:paraId="7F792003"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Atomic time serves as the </w:t>
      </w:r>
      <w:r w:rsidRPr="00C54F52">
        <w:rPr>
          <w:rFonts w:ascii="Times New Roman" w:eastAsia="Times New Roman" w:hAnsi="Times New Roman" w:cs="Times New Roman"/>
          <w:b/>
          <w:bCs/>
          <w:sz w:val="24"/>
          <w:szCs w:val="24"/>
        </w:rPr>
        <w:t>external anchor for all synchronization processes</w:t>
      </w:r>
      <w:r w:rsidRPr="00C54F52">
        <w:rPr>
          <w:rFonts w:ascii="Times New Roman" w:eastAsia="Times New Roman" w:hAnsi="Times New Roman" w:cs="Times New Roman"/>
          <w:sz w:val="24"/>
          <w:szCs w:val="24"/>
        </w:rPr>
        <w:t>.</w:t>
      </w:r>
    </w:p>
    <w:p w14:paraId="4E265441" w14:textId="500FE461"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Proper Time and Relativistic Structure</w:t>
      </w:r>
    </w:p>
    <w:p w14:paraId="2F7B2738"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Spacetime is governed by relativistic geometry:</w:t>
      </w:r>
    </w:p>
    <w:p w14:paraId="229C4E83"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s</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τ</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2</m:t>
              </m:r>
            </m:sup>
          </m:sSup>
          <m:r>
            <m:rPr>
              <m:sty m:val="p"/>
            </m:rPr>
            <w:rPr>
              <w:rFonts w:ascii="Cambria Math" w:eastAsia="Times New Roman" w:hAnsi="Cambria Math" w:cs="Times New Roman"/>
              <w:sz w:val="24"/>
              <w:szCs w:val="24"/>
            </w:rPr>
            <w:br/>
          </m:r>
        </m:oMath>
      </m:oMathPara>
    </w:p>
    <w:p w14:paraId="617CAFC9"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where </w:t>
      </w:r>
      <m:oMath>
        <m:r>
          <w:rPr>
            <w:rFonts w:ascii="Cambria Math" w:eastAsia="Times New Roman" w:hAnsi="Cambria Math" w:cs="Times New Roman"/>
            <w:sz w:val="24"/>
            <w:szCs w:val="24"/>
          </w:rPr>
          <m:t>τ</m:t>
        </m:r>
      </m:oMath>
      <w:r w:rsidRPr="00C54F52">
        <w:rPr>
          <w:rFonts w:ascii="Times New Roman" w:eastAsia="Times New Roman" w:hAnsi="Times New Roman" w:cs="Times New Roman"/>
          <w:sz w:val="24"/>
          <w:szCs w:val="24"/>
        </w:rPr>
        <w:t>is proper time.</w:t>
      </w:r>
    </w:p>
    <w:p w14:paraId="077094B4"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Time dilation arises from:</w:t>
      </w:r>
    </w:p>
    <w:p w14:paraId="05057956" w14:textId="77777777" w:rsidR="00C54F52" w:rsidRPr="00C54F52" w:rsidRDefault="00C54F52" w:rsidP="00C54F5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velocity differences </w:t>
      </w:r>
    </w:p>
    <w:p w14:paraId="3E0C97B5" w14:textId="77777777" w:rsidR="00C54F52" w:rsidRPr="00C54F52" w:rsidRDefault="00C54F52" w:rsidP="00C54F5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gravitational potential </w:t>
      </w:r>
    </w:p>
    <w:p w14:paraId="0424CED4"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cannot be removed, only measured and managed.</w:t>
      </w:r>
    </w:p>
    <w:p w14:paraId="31EDD6A3" w14:textId="42F00482"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Master Field Equation</w:t>
      </w:r>
    </w:p>
    <w:p w14:paraId="0C5002F6"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We define the unified field </w:t>
      </w:r>
      <m:oMath>
        <m:r>
          <w:rPr>
            <w:rFonts w:ascii="Cambria Math" w:eastAsia="Times New Roman" w:hAnsi="Cambria Math" w:cs="Times New Roman"/>
            <w:sz w:val="24"/>
            <w:szCs w:val="24"/>
          </w:rPr>
          <m:t>G(</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oMath>
      <w:r w:rsidRPr="00C54F52">
        <w:rPr>
          <w:rFonts w:ascii="Times New Roman" w:eastAsia="Times New Roman" w:hAnsi="Times New Roman" w:cs="Times New Roman"/>
          <w:sz w:val="24"/>
          <w:szCs w:val="24"/>
        </w:rPr>
        <w:t>:</w:t>
      </w:r>
    </w:p>
    <w:p w14:paraId="748E3F60"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G+λ(G-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V</m:t>
              </m:r>
            </m:num>
            <m:den>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G</m:t>
              </m:r>
            </m:den>
          </m:f>
          <m:r>
            <w:rPr>
              <w:rFonts w:ascii="Cambria Math" w:eastAsia="Times New Roman" w:hAnsi="Cambria Math" w:cs="Times New Roman"/>
              <w:sz w:val="24"/>
              <w:szCs w:val="24"/>
            </w:rPr>
            <m:t>=S(</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)+χC</m:t>
          </m:r>
          <m:r>
            <w:rPr>
              <w:rFonts w:ascii="Cambria Math" w:eastAsia="Times New Roman" w:hAnsi="Cambria Math" w:cs="Times New Roman"/>
              <w:sz w:val="24"/>
              <w:szCs w:val="24"/>
            </w:rPr>
            <w:br/>
          </m:r>
        </m:oMath>
      </m:oMathPara>
    </w:p>
    <w:p w14:paraId="102245E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includes:</w:t>
      </w:r>
    </w:p>
    <w:p w14:paraId="0DE17F46" w14:textId="77777777" w:rsidR="00C54F52" w:rsidRPr="00C54F52" w:rsidRDefault="00C54F52" w:rsidP="00C54F5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wave dynamics </w:t>
      </w:r>
    </w:p>
    <w:p w14:paraId="1EDC62AB" w14:textId="77777777" w:rsidR="00C54F52" w:rsidRPr="00C54F52" w:rsidRDefault="00C54F52" w:rsidP="00C54F5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restoring equilibrium </w:t>
      </w:r>
    </w:p>
    <w:p w14:paraId="07C2037B" w14:textId="77777777" w:rsidR="00C54F52" w:rsidRPr="00C54F52" w:rsidRDefault="00C54F52" w:rsidP="00C54F5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external forcing </w:t>
      </w:r>
    </w:p>
    <w:p w14:paraId="390C327E" w14:textId="77777777" w:rsidR="00C54F52" w:rsidRPr="00C54F52" w:rsidRDefault="00C54F52" w:rsidP="00C54F5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synchronization control </w:t>
      </w:r>
    </w:p>
    <w:p w14:paraId="42BCE2CC" w14:textId="29EB782E"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lastRenderedPageBreak/>
        <w:t>Energy–Mass Duality Extension</w:t>
      </w:r>
    </w:p>
    <w:p w14:paraId="63557F5A"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 equivalence principle is expressed as:</w:t>
      </w:r>
    </w:p>
    <w:p w14:paraId="62039854"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E=m</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r>
            <m:rPr>
              <m:sty m:val="p"/>
            </m:rPr>
            <w:rPr>
              <w:rFonts w:ascii="Cambria Math" w:eastAsia="Times New Roman" w:hAnsi="Cambria Math" w:cs="Times New Roman"/>
              <w:sz w:val="24"/>
              <w:szCs w:val="24"/>
            </w:rPr>
            <w:br/>
          </m:r>
        </m:oMath>
      </m:oMathPara>
    </w:p>
    <w:p w14:paraId="3EF7B94A"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and its inverse:</w:t>
      </w:r>
    </w:p>
    <w:p w14:paraId="408C1F81"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E</m:t>
              </m:r>
            </m:num>
            <m:den>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den>
          </m:f>
          <m:r>
            <m:rPr>
              <m:sty m:val="p"/>
            </m:rPr>
            <w:rPr>
              <w:rFonts w:ascii="Cambria Math" w:eastAsia="Times New Roman" w:hAnsi="Cambria Math" w:cs="Times New Roman"/>
              <w:sz w:val="24"/>
              <w:szCs w:val="24"/>
            </w:rPr>
            <w:br/>
          </m:r>
        </m:oMath>
      </m:oMathPara>
    </w:p>
    <w:p w14:paraId="5AA1669D" w14:textId="77777777" w:rsidR="00C54F52" w:rsidRPr="00C54F52" w:rsidRDefault="00C54F52" w:rsidP="00C54F52">
      <w:pPr>
        <w:spacing w:before="100" w:beforeAutospacing="1" w:after="100" w:afterAutospacing="1" w:line="240" w:lineRule="auto"/>
        <w:outlineLvl w:val="2"/>
        <w:rPr>
          <w:rFonts w:ascii="Times New Roman" w:eastAsia="Times New Roman" w:hAnsi="Times New Roman" w:cs="Times New Roman"/>
          <w:b/>
          <w:bCs/>
          <w:sz w:val="27"/>
          <w:szCs w:val="27"/>
        </w:rPr>
      </w:pPr>
      <w:r w:rsidRPr="00C54F52">
        <w:rPr>
          <w:rFonts w:ascii="Times New Roman" w:eastAsia="Times New Roman" w:hAnsi="Times New Roman" w:cs="Times New Roman"/>
          <w:b/>
          <w:bCs/>
          <w:sz w:val="27"/>
          <w:szCs w:val="27"/>
        </w:rPr>
        <w:t>Interpretation in this framework</w:t>
      </w:r>
    </w:p>
    <w:p w14:paraId="7CEA6B33"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duality implies:</w:t>
      </w:r>
    </w:p>
    <w:p w14:paraId="481F7F62" w14:textId="77777777" w:rsidR="00C54F52" w:rsidRPr="00C54F52" w:rsidRDefault="00C54F52" w:rsidP="00C54F5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matter can be treated as localized energy density </w:t>
      </w:r>
    </w:p>
    <w:p w14:paraId="7B66B62E" w14:textId="77777777" w:rsidR="00C54F52" w:rsidRPr="00C54F52" w:rsidRDefault="00C54F52" w:rsidP="00C54F5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energy fields can generate effective mass distributions </w:t>
      </w:r>
    </w:p>
    <w:p w14:paraId="2E67EBE9" w14:textId="77777777" w:rsidR="00C54F52" w:rsidRPr="00C54F52" w:rsidRDefault="00C54F52" w:rsidP="00C54F52">
      <w:pPr>
        <w:spacing w:before="100" w:beforeAutospacing="1" w:after="100" w:afterAutospacing="1" w:line="240" w:lineRule="auto"/>
        <w:outlineLvl w:val="2"/>
        <w:rPr>
          <w:rFonts w:ascii="Times New Roman" w:eastAsia="Times New Roman" w:hAnsi="Times New Roman" w:cs="Times New Roman"/>
          <w:b/>
          <w:bCs/>
          <w:sz w:val="27"/>
          <w:szCs w:val="27"/>
        </w:rPr>
      </w:pPr>
      <w:r w:rsidRPr="00C54F52">
        <w:rPr>
          <w:rFonts w:ascii="Times New Roman" w:eastAsia="Times New Roman" w:hAnsi="Times New Roman" w:cs="Times New Roman"/>
          <w:b/>
          <w:bCs/>
          <w:sz w:val="27"/>
          <w:szCs w:val="27"/>
        </w:rPr>
        <w:t>Integration into the master field</w:t>
      </w:r>
    </w:p>
    <w:p w14:paraId="63D22461"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We extend the source term:</w:t>
      </w:r>
    </w:p>
    <w:p w14:paraId="0FCA9C2C"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S(</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ρ</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ρ</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r>
            <w:rPr>
              <w:rFonts w:ascii="Cambria Math" w:eastAsia="Times New Roman" w:hAnsi="Cambria Math" w:cs="Times New Roman"/>
              <w:sz w:val="24"/>
              <w:szCs w:val="24"/>
            </w:rPr>
            <w:br/>
          </m:r>
        </m:oMath>
      </m:oMathPara>
    </w:p>
    <w:p w14:paraId="6AD5EBEB"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where:</w:t>
      </w:r>
    </w:p>
    <w:p w14:paraId="2BC88F75" w14:textId="77777777" w:rsidR="00C54F52" w:rsidRPr="00C54F52" w:rsidRDefault="00000000" w:rsidP="00C54F52">
      <w:pPr>
        <w:numPr>
          <w:ilvl w:val="0"/>
          <w:numId w:val="17"/>
        </w:numPr>
        <w:spacing w:before="100" w:beforeAutospacing="1" w:after="100" w:afterAutospacing="1" w:line="240" w:lineRule="auto"/>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ρ</m:t>
            </m:r>
          </m:e>
          <m:sub>
            <m:r>
              <w:rPr>
                <w:rFonts w:ascii="Cambria Math" w:eastAsia="Times New Roman" w:hAnsi="Cambria Math" w:cs="Times New Roman"/>
                <w:sz w:val="24"/>
                <w:szCs w:val="24"/>
              </w:rPr>
              <m:t>m</m:t>
            </m:r>
          </m:sub>
        </m:sSub>
      </m:oMath>
      <w:r w:rsidR="00C54F52" w:rsidRPr="00C54F52">
        <w:rPr>
          <w:rFonts w:ascii="Times New Roman" w:eastAsia="Times New Roman" w:hAnsi="Times New Roman" w:cs="Times New Roman"/>
          <w:sz w:val="24"/>
          <w:szCs w:val="24"/>
        </w:rPr>
        <w:t xml:space="preserve">= mass density </w:t>
      </w:r>
    </w:p>
    <w:p w14:paraId="4834435C" w14:textId="77777777" w:rsidR="00C54F52" w:rsidRPr="00C54F52" w:rsidRDefault="00000000" w:rsidP="00C54F52">
      <w:pPr>
        <w:numPr>
          <w:ilvl w:val="0"/>
          <w:numId w:val="17"/>
        </w:numPr>
        <w:spacing w:before="100" w:beforeAutospacing="1" w:after="100" w:afterAutospacing="1" w:line="240" w:lineRule="auto"/>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ρ</m:t>
            </m:r>
          </m:e>
          <m:sub>
            <m:r>
              <w:rPr>
                <w:rFonts w:ascii="Cambria Math" w:eastAsia="Times New Roman" w:hAnsi="Cambria Math" w:cs="Times New Roman"/>
                <w:sz w:val="24"/>
                <w:szCs w:val="24"/>
              </w:rPr>
              <m:t>E</m:t>
            </m:r>
          </m:sub>
        </m:sSub>
      </m:oMath>
      <w:r w:rsidR="00C54F52" w:rsidRPr="00C54F52">
        <w:rPr>
          <w:rFonts w:ascii="Times New Roman" w:eastAsia="Times New Roman" w:hAnsi="Times New Roman" w:cs="Times New Roman"/>
          <w:sz w:val="24"/>
          <w:szCs w:val="24"/>
        </w:rPr>
        <w:t xml:space="preserve">= energy density </w:t>
      </w:r>
    </w:p>
    <w:p w14:paraId="180901A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allows:</w:t>
      </w:r>
    </w:p>
    <w:p w14:paraId="2C924136" w14:textId="77777777" w:rsidR="00C54F52" w:rsidRPr="00C54F52" w:rsidRDefault="00C54F52" w:rsidP="00C54F5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dynamic conversion between mass and energy contributions </w:t>
      </w:r>
    </w:p>
    <w:p w14:paraId="01DC75A9" w14:textId="77777777" w:rsidR="00C54F52" w:rsidRPr="00C54F52" w:rsidRDefault="00C54F52" w:rsidP="00C54F5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modeling of high-energy field interactions </w:t>
      </w:r>
    </w:p>
    <w:p w14:paraId="019A7AFD" w14:textId="77777777" w:rsidR="00C54F52" w:rsidRPr="00C54F52" w:rsidRDefault="00C54F52" w:rsidP="00C54F5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theoretical treatment of propulsion systems </w:t>
      </w:r>
    </w:p>
    <w:p w14:paraId="2B42E64A"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754DF6B2"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0DEE2418" w14:textId="77777777" w:rsid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p>
    <w:p w14:paraId="518ACFC4" w14:textId="4AFE040C"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lastRenderedPageBreak/>
        <w:t>Physical Meaning for High-Energy Systems</w:t>
      </w:r>
    </w:p>
    <w:p w14:paraId="555176D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Using </w:t>
      </w:r>
      <m:oMath>
        <m:r>
          <w:rPr>
            <w:rFonts w:ascii="Cambria Math" w:eastAsia="Times New Roman" w:hAnsi="Cambria Math" w:cs="Times New Roman"/>
            <w:sz w:val="24"/>
            <w:szCs w:val="24"/>
          </w:rPr>
          <m:t>E=m</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oMath>
      <w:r w:rsidRPr="00C54F52">
        <w:rPr>
          <w:rFonts w:ascii="Times New Roman" w:eastAsia="Times New Roman" w:hAnsi="Times New Roman" w:cs="Times New Roman"/>
          <w:sz w:val="24"/>
          <w:szCs w:val="24"/>
        </w:rPr>
        <w:t xml:space="preserve">and </w:t>
      </w:r>
      <m:oMath>
        <m:r>
          <w:rPr>
            <w:rFonts w:ascii="Cambria Math" w:eastAsia="Times New Roman" w:hAnsi="Cambria Math" w:cs="Times New Roman"/>
            <w:sz w:val="24"/>
            <w:szCs w:val="24"/>
          </w:rPr>
          <m:t>m=E</m:t>
        </m:r>
        <m:r>
          <m:rPr>
            <m:sty m:val="p"/>
          </m:rP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oMath>
      <w:r w:rsidRPr="00C54F52">
        <w:rPr>
          <w:rFonts w:ascii="Times New Roman" w:eastAsia="Times New Roman" w:hAnsi="Times New Roman" w:cs="Times New Roman"/>
          <w:sz w:val="24"/>
          <w:szCs w:val="24"/>
        </w:rPr>
        <w:t>:</w:t>
      </w:r>
    </w:p>
    <w:p w14:paraId="314A10F2" w14:textId="77777777" w:rsidR="00C54F52" w:rsidRPr="00C54F52" w:rsidRDefault="00C54F52" w:rsidP="00C54F5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increasing energy density increases effective mass </w:t>
      </w:r>
    </w:p>
    <w:p w14:paraId="0178D5C8" w14:textId="77777777" w:rsidR="00C54F52" w:rsidRPr="00C54F52" w:rsidRDefault="00C54F52" w:rsidP="00C54F5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reducing localized mass requires energy redistribution </w:t>
      </w:r>
    </w:p>
    <w:p w14:paraId="13AE002C"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In propulsion contexts (theoretical):</w:t>
      </w:r>
    </w:p>
    <w:p w14:paraId="15495967" w14:textId="77777777" w:rsidR="00C54F52" w:rsidRPr="00C54F52" w:rsidRDefault="00C54F52" w:rsidP="00C54F5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nuclear reactions convert mass to energy </w:t>
      </w:r>
    </w:p>
    <w:p w14:paraId="39F772FD" w14:textId="77777777" w:rsidR="00C54F52" w:rsidRPr="00C54F52" w:rsidRDefault="00C54F52" w:rsidP="00C54F5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fusion produces high-energy plasma states </w:t>
      </w:r>
    </w:p>
    <w:p w14:paraId="65031655" w14:textId="77777777" w:rsidR="00C54F52" w:rsidRPr="00C54F52" w:rsidRDefault="00C54F52" w:rsidP="00C54F5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electromagnetic fields can confine and direct energy </w:t>
      </w:r>
    </w:p>
    <w:p w14:paraId="427CA8E0"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These processes may contribute to:</w:t>
      </w:r>
    </w:p>
    <w:p w14:paraId="436765BA" w14:textId="77777777" w:rsidR="00C54F52" w:rsidRPr="00C54F52" w:rsidRDefault="00C54F52" w:rsidP="00C54F5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localized field distortion </w:t>
      </w:r>
    </w:p>
    <w:p w14:paraId="70B66DEE" w14:textId="77777777" w:rsidR="00C54F52" w:rsidRPr="00C54F52" w:rsidRDefault="00C54F52" w:rsidP="00C54F5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effective stress-energy manipulation </w:t>
      </w:r>
    </w:p>
    <w:p w14:paraId="21A429BE" w14:textId="5D8F0E6B" w:rsidR="00C54F52" w:rsidRPr="00C54F52" w:rsidRDefault="00C54F52" w:rsidP="00C54F5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dynamic field shape </w:t>
      </w:r>
    </w:p>
    <w:p w14:paraId="31E20F41" w14:textId="3D4A2BEB"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However:</w:t>
      </w:r>
    </w:p>
    <w:p w14:paraId="486FF10D" w14:textId="77777777" w:rsidR="00C54F52" w:rsidRPr="00C54F52" w:rsidRDefault="00C54F52" w:rsidP="00C54F5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no known system achieves macroscopic mass-energy conversion at required warp scales </w:t>
      </w:r>
    </w:p>
    <w:p w14:paraId="097F61A8" w14:textId="77777777" w:rsidR="00C54F52" w:rsidRPr="00C54F52" w:rsidRDefault="00C54F52" w:rsidP="00C54F5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energy requirements remain extremely large </w:t>
      </w:r>
    </w:p>
    <w:p w14:paraId="7815DB20" w14:textId="6AEDB02F"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Curvature Synchronization Theory (CST)</w:t>
      </w:r>
    </w:p>
    <w:p w14:paraId="79845162"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CST is defined as a synchronization framework.</w:t>
      </w:r>
    </w:p>
    <w:p w14:paraId="6433190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Time references:</w:t>
      </w:r>
    </w:p>
    <w:p w14:paraId="1755230D" w14:textId="77777777" w:rsidR="00C54F52" w:rsidRPr="00C54F52" w:rsidRDefault="00000000" w:rsidP="00C54F52">
      <w:pPr>
        <w:numPr>
          <w:ilvl w:val="0"/>
          <w:numId w:val="23"/>
        </w:numPr>
        <w:spacing w:before="100" w:beforeAutospacing="1" w:after="100" w:afterAutospacing="1" w:line="240" w:lineRule="auto"/>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atom</m:t>
            </m:r>
          </m:sub>
        </m:sSub>
      </m:oMath>
      <w:r w:rsidR="00C54F52" w:rsidRPr="00C54F52">
        <w:rPr>
          <w:rFonts w:ascii="Times New Roman" w:eastAsia="Times New Roman" w:hAnsi="Times New Roman" w:cs="Times New Roman"/>
          <w:sz w:val="24"/>
          <w:szCs w:val="24"/>
        </w:rPr>
        <w:t xml:space="preserve">: cesium-based time </w:t>
      </w:r>
    </w:p>
    <w:p w14:paraId="382E71F4" w14:textId="77777777" w:rsidR="00C54F52" w:rsidRPr="00C54F52" w:rsidRDefault="00000000" w:rsidP="00C54F52">
      <w:pPr>
        <w:numPr>
          <w:ilvl w:val="0"/>
          <w:numId w:val="23"/>
        </w:numPr>
        <w:spacing w:before="100" w:beforeAutospacing="1" w:after="100" w:afterAutospacing="1" w:line="240" w:lineRule="auto"/>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ship</m:t>
            </m:r>
          </m:sub>
        </m:sSub>
      </m:oMath>
      <w:r w:rsidR="00C54F52" w:rsidRPr="00C54F52">
        <w:rPr>
          <w:rFonts w:ascii="Times New Roman" w:eastAsia="Times New Roman" w:hAnsi="Times New Roman" w:cs="Times New Roman"/>
          <w:sz w:val="24"/>
          <w:szCs w:val="24"/>
        </w:rPr>
        <w:t xml:space="preserve">: relativistic proper time </w:t>
      </w:r>
    </w:p>
    <w:p w14:paraId="68D67B60" w14:textId="77777777" w:rsidR="00C54F52" w:rsidRPr="00C54F52" w:rsidRDefault="00000000" w:rsidP="00C54F52">
      <w:pPr>
        <w:numPr>
          <w:ilvl w:val="0"/>
          <w:numId w:val="23"/>
        </w:numPr>
        <w:spacing w:before="100" w:beforeAutospacing="1" w:after="100" w:afterAutospacing="1" w:line="240" w:lineRule="auto"/>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bio</m:t>
            </m:r>
          </m:sub>
        </m:sSub>
      </m:oMath>
      <w:r w:rsidR="00C54F52" w:rsidRPr="00C54F52">
        <w:rPr>
          <w:rFonts w:ascii="Times New Roman" w:eastAsia="Times New Roman" w:hAnsi="Times New Roman" w:cs="Times New Roman"/>
          <w:sz w:val="24"/>
          <w:szCs w:val="24"/>
        </w:rPr>
        <w:t xml:space="preserve">: biological operational time </w:t>
      </w:r>
    </w:p>
    <w:p w14:paraId="0747F4A2"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Mismatch:</w:t>
      </w:r>
    </w:p>
    <w:p w14:paraId="6E80ADC3"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τ=a(</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ship</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atom</m:t>
              </m:r>
            </m:sub>
          </m:sSub>
          <m:r>
            <w:rPr>
              <w:rFonts w:ascii="Cambria Math" w:eastAsia="Times New Roman" w:hAnsi="Cambria Math" w:cs="Times New Roman"/>
              <w:sz w:val="24"/>
              <w:szCs w:val="24"/>
            </w:rPr>
            <m:t>)+b(</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bio</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m:rPr>
                  <m:nor/>
                </m:rPr>
                <w:rPr>
                  <w:rFonts w:ascii="Times New Roman" w:eastAsia="Times New Roman" w:hAnsi="Times New Roman" w:cs="Times New Roman"/>
                  <w:sz w:val="24"/>
                  <w:szCs w:val="24"/>
                </w:rPr>
                <m:t>atom</m:t>
              </m:r>
            </m:sub>
          </m:sSub>
          <m:r>
            <w:rPr>
              <w:rFonts w:ascii="Cambria Math" w:eastAsia="Times New Roman" w:hAnsi="Cambria Math" w:cs="Times New Roman"/>
              <w:sz w:val="24"/>
              <w:szCs w:val="24"/>
            </w:rPr>
            <m:t>)</m:t>
          </m:r>
          <m:r>
            <w:rPr>
              <w:rFonts w:ascii="Cambria Math" w:eastAsia="Times New Roman" w:hAnsi="Cambria Math" w:cs="Times New Roman"/>
              <w:sz w:val="24"/>
              <w:szCs w:val="24"/>
            </w:rPr>
            <w:br/>
          </m:r>
        </m:oMath>
      </m:oMathPara>
    </w:p>
    <w:p w14:paraId="5996F38C"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Control:</w:t>
      </w:r>
    </w:p>
    <w:p w14:paraId="0F0A164F"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C=</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P</m:t>
              </m:r>
            </m:sub>
          </m:sSub>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τ+</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D</m:t>
              </m:r>
            </m:sub>
          </m:sSub>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d</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τ</m:t>
              </m:r>
            </m:num>
            <m:den>
              <m:r>
                <w:rPr>
                  <w:rFonts w:ascii="Cambria Math" w:eastAsia="Times New Roman" w:hAnsi="Cambria Math" w:cs="Times New Roman"/>
                  <w:sz w:val="24"/>
                  <w:szCs w:val="24"/>
                </w:rPr>
                <m:t>dτ</m:t>
              </m:r>
            </m:den>
          </m:f>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τdτ</m:t>
          </m:r>
          <m:r>
            <w:rPr>
              <w:rFonts w:ascii="Cambria Math" w:eastAsia="Times New Roman" w:hAnsi="Cambria Math" w:cs="Times New Roman"/>
              <w:sz w:val="24"/>
              <w:szCs w:val="24"/>
            </w:rPr>
            <w:br/>
          </m:r>
        </m:oMath>
      </m:oMathPara>
    </w:p>
    <w:p w14:paraId="11067D04"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lastRenderedPageBreak/>
        <w:t>CST:</w:t>
      </w:r>
    </w:p>
    <w:p w14:paraId="40F6AB4A" w14:textId="77777777" w:rsidR="00C54F52" w:rsidRPr="00C54F52" w:rsidRDefault="00C54F52" w:rsidP="00C54F5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does not redefine time </w:t>
      </w:r>
    </w:p>
    <w:p w14:paraId="52160F7F" w14:textId="77777777" w:rsidR="00C54F52" w:rsidRPr="00C54F52" w:rsidRDefault="00C54F52" w:rsidP="00C54F5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maintains synchronization </w:t>
      </w:r>
    </w:p>
    <w:p w14:paraId="335D5E45" w14:textId="77777777" w:rsidR="00C54F52" w:rsidRPr="00C54F52" w:rsidRDefault="00C54F52" w:rsidP="00C54F5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supports system stability </w:t>
      </w:r>
    </w:p>
    <w:p w14:paraId="447A219B" w14:textId="305C36A9"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Harmonic Structure</w:t>
      </w:r>
    </w:p>
    <w:p w14:paraId="1C680DA1" w14:textId="77777777" w:rsidR="00C54F52" w:rsidRPr="00C54F52" w:rsidRDefault="00C54F52" w:rsidP="00C54F52">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G(</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nary>
            <m:naryPr>
              <m:chr m:val="∑"/>
              <m:limLoc m:val="undOvr"/>
              <m:grow m:val="1"/>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n</m:t>
              </m: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n</m:t>
                  </m:r>
                </m:sub>
              </m:sSub>
            </m:e>
          </m:nary>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i(</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nμ</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w:br/>
          </m:r>
        </m:oMath>
      </m:oMathPara>
    </w:p>
    <w:p w14:paraId="5EDF968E"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represents:</w:t>
      </w:r>
    </w:p>
    <w:p w14:paraId="429FA0D9" w14:textId="77777777" w:rsidR="00C54F52" w:rsidRPr="00C54F52" w:rsidRDefault="00C54F52" w:rsidP="00C54F52">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vibrational modes </w:t>
      </w:r>
    </w:p>
    <w:p w14:paraId="00EA87D1" w14:textId="77777777" w:rsidR="00C54F52" w:rsidRPr="00C54F52" w:rsidRDefault="00C54F52" w:rsidP="00C54F52">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resonant field structures </w:t>
      </w:r>
    </w:p>
    <w:p w14:paraId="40690E61" w14:textId="77777777" w:rsidR="00C54F52" w:rsidRPr="00C54F52" w:rsidRDefault="00C54F52" w:rsidP="00C54F52">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multi-scale coupling </w:t>
      </w:r>
    </w:p>
    <w:p w14:paraId="17DA592A" w14:textId="42FD5EFD"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Connection to General Relativity</w:t>
      </w:r>
    </w:p>
    <w:p w14:paraId="2E9B5C5A" w14:textId="77777777" w:rsidR="00C54F52" w:rsidRPr="00C54F52" w:rsidRDefault="00000000" w:rsidP="00C54F52">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Λ</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8πG</m:t>
              </m:r>
            </m:num>
            <m:den>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4</m:t>
                  </m:r>
                </m:sup>
              </m:sSup>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+η</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Θ</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[G]</m:t>
          </m:r>
          <m:r>
            <w:rPr>
              <w:rFonts w:ascii="Cambria Math" w:eastAsia="Times New Roman" w:hAnsi="Cambria Math" w:cs="Times New Roman"/>
              <w:sz w:val="24"/>
              <w:szCs w:val="24"/>
            </w:rPr>
            <w:br/>
          </m:r>
        </m:oMath>
      </m:oMathPara>
    </w:p>
    <w:p w14:paraId="1932B619"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preserves:</w:t>
      </w:r>
    </w:p>
    <w:p w14:paraId="4980A8E9" w14:textId="77777777" w:rsidR="00C54F52" w:rsidRPr="00C54F52" w:rsidRDefault="00C54F52" w:rsidP="00C54F5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Einstein’s framework </w:t>
      </w:r>
    </w:p>
    <w:p w14:paraId="67DCC597" w14:textId="77777777" w:rsidR="00C54F52" w:rsidRPr="00C54F52" w:rsidRDefault="00C54F52" w:rsidP="00C54F5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physical consistency </w:t>
      </w:r>
    </w:p>
    <w:p w14:paraId="1B950E9F" w14:textId="77777777" w:rsidR="00C54F52" w:rsidRPr="00C54F52" w:rsidRDefault="00C54F52" w:rsidP="00C54F52">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controlled extension </w:t>
      </w:r>
    </w:p>
    <w:p w14:paraId="0805475F" w14:textId="1CB2D69D"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Application to Warp Frameworks</w:t>
      </w:r>
    </w:p>
    <w:p w14:paraId="4D8FBDFC"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 Alcubierre metric describes spacetime deformation enabling effective faster-than-light travel without local violation of relativity.</w:t>
      </w:r>
    </w:p>
    <w:p w14:paraId="1E784869"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Within this framework:</w:t>
      </w:r>
    </w:p>
    <w:p w14:paraId="077EB226" w14:textId="77777777" w:rsidR="00C54F52" w:rsidRPr="00C54F52" w:rsidRDefault="00C54F52" w:rsidP="00C54F5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external navigation uses atomic time </w:t>
      </w:r>
    </w:p>
    <w:p w14:paraId="228512A8" w14:textId="77777777" w:rsidR="00C54F52" w:rsidRPr="00C54F52" w:rsidRDefault="00C54F52" w:rsidP="00C54F5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internal systems use CST synchronization </w:t>
      </w:r>
    </w:p>
    <w:p w14:paraId="66296902" w14:textId="77777777" w:rsidR="00C54F52" w:rsidRPr="00C54F52" w:rsidRDefault="00C54F52" w:rsidP="00C54F52">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biological time is preserved </w:t>
      </w:r>
    </w:p>
    <w:p w14:paraId="5DAE517C"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Key principle:</w:t>
      </w:r>
    </w:p>
    <w:p w14:paraId="0378E123"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Time dilation is not eliminated but managed through synchronization.</w:t>
      </w:r>
    </w:p>
    <w:p w14:paraId="6EADBD73" w14:textId="0C2FEC45"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lastRenderedPageBreak/>
        <w:t>Testable Predictions</w:t>
      </w:r>
    </w:p>
    <w:p w14:paraId="1A49CD3B" w14:textId="77777777" w:rsidR="00C54F52" w:rsidRPr="00C54F52" w:rsidRDefault="00C54F52" w:rsidP="00C54F5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Atomic clocks under varying field conditions show measurable deviations </w:t>
      </w:r>
    </w:p>
    <w:p w14:paraId="1C530C01" w14:textId="77777777" w:rsidR="00C54F52" w:rsidRPr="00C54F52" w:rsidRDefault="00C54F52" w:rsidP="00C54F5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CST-based synchronization reduces long-distance timing drift </w:t>
      </w:r>
    </w:p>
    <w:p w14:paraId="3900455A" w14:textId="77777777" w:rsidR="00C54F52" w:rsidRPr="00C54F52" w:rsidRDefault="00C54F52" w:rsidP="00C54F52">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Correlation between energy density and timing residuals </w:t>
      </w:r>
    </w:p>
    <w:p w14:paraId="48172D0D" w14:textId="7ACDAC6A"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Physical Constraints</w:t>
      </w:r>
    </w:p>
    <w:p w14:paraId="3C281AC6" w14:textId="226B16A1" w:rsidR="00C54F52" w:rsidRPr="00C54F52" w:rsidRDefault="00C54F52" w:rsidP="00C54F5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energy requirements remain extremely </w:t>
      </w:r>
    </w:p>
    <w:p w14:paraId="6997E99B" w14:textId="77777777" w:rsidR="00C54F52" w:rsidRPr="00C54F52" w:rsidRDefault="00C54F52" w:rsidP="00C54F5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no violation of local speed of light </w:t>
      </w:r>
    </w:p>
    <w:p w14:paraId="03E9CAAF" w14:textId="77777777" w:rsidR="00C54F52" w:rsidRPr="00C54F52" w:rsidRDefault="00C54F52" w:rsidP="00C54F5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mass-energy conversion efficiency limits apply </w:t>
      </w:r>
    </w:p>
    <w:p w14:paraId="3B115A37" w14:textId="77777777" w:rsidR="00C54F52" w:rsidRPr="00C54F52" w:rsidRDefault="00C54F52" w:rsidP="00C54F52">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warp remains theoretical </w:t>
      </w:r>
    </w:p>
    <w:p w14:paraId="6876D8CA" w14:textId="5064930E" w:rsidR="00C54F52" w:rsidRPr="00C54F52" w:rsidRDefault="00C54F52" w:rsidP="00C54F52">
      <w:pPr>
        <w:spacing w:before="100" w:beforeAutospacing="1" w:after="100" w:afterAutospacing="1" w:line="240" w:lineRule="auto"/>
        <w:outlineLvl w:val="1"/>
        <w:rPr>
          <w:rFonts w:ascii="Times New Roman" w:eastAsia="Times New Roman" w:hAnsi="Times New Roman" w:cs="Times New Roman"/>
          <w:b/>
          <w:bCs/>
          <w:sz w:val="36"/>
          <w:szCs w:val="36"/>
        </w:rPr>
      </w:pPr>
      <w:r w:rsidRPr="00C54F52">
        <w:rPr>
          <w:rFonts w:ascii="Times New Roman" w:eastAsia="Times New Roman" w:hAnsi="Times New Roman" w:cs="Times New Roman"/>
          <w:b/>
          <w:bCs/>
          <w:sz w:val="36"/>
          <w:szCs w:val="36"/>
        </w:rPr>
        <w:t>Conclusion</w:t>
      </w:r>
    </w:p>
    <w:p w14:paraId="32679D11" w14:textId="7FD60684"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This framework is established:</w:t>
      </w:r>
    </w:p>
    <w:p w14:paraId="4C016D4B" w14:textId="77777777" w:rsidR="00C54F52" w:rsidRPr="00C54F52" w:rsidRDefault="00C54F52" w:rsidP="00C54F5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 unified field anchored to equilibrium </w:t>
      </w:r>
    </w:p>
    <w:p w14:paraId="6DCAA119" w14:textId="77777777" w:rsidR="00C54F52" w:rsidRPr="00C54F52" w:rsidRDefault="00C54F52" w:rsidP="00C54F5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atomic time as a universal reference </w:t>
      </w:r>
    </w:p>
    <w:p w14:paraId="11932788" w14:textId="77777777" w:rsidR="00C54F52" w:rsidRPr="00C54F52" w:rsidRDefault="00C54F52" w:rsidP="00C54F5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CST as a synchronization layer </w:t>
      </w:r>
    </w:p>
    <w:p w14:paraId="5560522A" w14:textId="77777777" w:rsidR="00C54F52" w:rsidRPr="00C54F52" w:rsidRDefault="00C54F52" w:rsidP="00C54F52">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 xml:space="preserve">energy–mass duality as a dynamic component </w:t>
      </w:r>
    </w:p>
    <w:p w14:paraId="6B3CF337" w14:textId="77777777" w:rsidR="00C54F52" w:rsidRPr="00C54F52" w:rsidRDefault="00C54F52" w:rsidP="00C54F52">
      <w:pPr>
        <w:spacing w:before="100" w:beforeAutospacing="1" w:after="100" w:afterAutospacing="1" w:line="240" w:lineRule="auto"/>
        <w:rPr>
          <w:rFonts w:ascii="Times New Roman" w:eastAsia="Times New Roman" w:hAnsi="Times New Roman" w:cs="Times New Roman"/>
          <w:sz w:val="24"/>
          <w:szCs w:val="24"/>
        </w:rPr>
      </w:pPr>
      <w:r w:rsidRPr="00C54F52">
        <w:rPr>
          <w:rFonts w:ascii="Times New Roman" w:eastAsia="Times New Roman" w:hAnsi="Times New Roman" w:cs="Times New Roman"/>
          <w:sz w:val="24"/>
          <w:szCs w:val="24"/>
        </w:rPr>
        <w:t>The integration of these elements provides a structured approach to managing time coherence in extreme physical environments while remaining consistent with established physics.</w:t>
      </w:r>
    </w:p>
    <w:p w14:paraId="57CCFF80" w14:textId="632068B4" w:rsidR="006759F5" w:rsidRPr="006759F5" w:rsidRDefault="006759F5" w:rsidP="006759F5">
      <w:pPr>
        <w:spacing w:before="100" w:beforeAutospacing="1" w:after="100" w:afterAutospacing="1" w:line="240" w:lineRule="auto"/>
        <w:outlineLvl w:val="1"/>
        <w:rPr>
          <w:rFonts w:ascii="Times New Roman" w:eastAsia="Times New Roman" w:hAnsi="Times New Roman" w:cs="Times New Roman"/>
          <w:b/>
          <w:bCs/>
          <w:sz w:val="36"/>
          <w:szCs w:val="36"/>
        </w:rPr>
      </w:pPr>
      <w:r w:rsidRPr="006759F5">
        <w:rPr>
          <w:rFonts w:ascii="Times New Roman" w:eastAsia="Times New Roman" w:hAnsi="Times New Roman" w:cs="Times New Roman"/>
          <w:b/>
          <w:bCs/>
          <w:sz w:val="36"/>
          <w:szCs w:val="36"/>
        </w:rPr>
        <w:t>References</w:t>
      </w:r>
    </w:p>
    <w:p w14:paraId="6E72AC9C"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Ashby, N. (2003). Relativity in the Global Positioning System. </w:t>
      </w:r>
      <w:r w:rsidRPr="006759F5">
        <w:rPr>
          <w:rFonts w:ascii="Times New Roman" w:eastAsia="Times New Roman" w:hAnsi="Times New Roman" w:cs="Times New Roman"/>
          <w:i/>
          <w:iCs/>
          <w:sz w:val="24"/>
          <w:szCs w:val="24"/>
        </w:rPr>
        <w:t>Living Reviews in Relativity</w:t>
      </w:r>
      <w:r w:rsidRPr="006759F5">
        <w:rPr>
          <w:rFonts w:ascii="Times New Roman" w:eastAsia="Times New Roman" w:hAnsi="Times New Roman" w:cs="Times New Roman"/>
          <w:sz w:val="24"/>
          <w:szCs w:val="24"/>
        </w:rPr>
        <w:t>, 6(1), 1.</w:t>
      </w:r>
    </w:p>
    <w:p w14:paraId="4054D814"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Åström, K. J., &amp; Murray, R. M. (2008). </w:t>
      </w:r>
      <w:r w:rsidRPr="006759F5">
        <w:rPr>
          <w:rFonts w:ascii="Times New Roman" w:eastAsia="Times New Roman" w:hAnsi="Times New Roman" w:cs="Times New Roman"/>
          <w:i/>
          <w:iCs/>
          <w:sz w:val="24"/>
          <w:szCs w:val="24"/>
        </w:rPr>
        <w:t>Feedback Systems: An Introduction for Scientists and Engineers</w:t>
      </w:r>
      <w:r w:rsidRPr="006759F5">
        <w:rPr>
          <w:rFonts w:ascii="Times New Roman" w:eastAsia="Times New Roman" w:hAnsi="Times New Roman" w:cs="Times New Roman"/>
          <w:sz w:val="24"/>
          <w:szCs w:val="24"/>
        </w:rPr>
        <w:t>. Princeton University Press.</w:t>
      </w:r>
    </w:p>
    <w:p w14:paraId="11F25767"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Bracewell, R. N. (2000). </w:t>
      </w:r>
      <w:r w:rsidRPr="006759F5">
        <w:rPr>
          <w:rFonts w:ascii="Times New Roman" w:eastAsia="Times New Roman" w:hAnsi="Times New Roman" w:cs="Times New Roman"/>
          <w:i/>
          <w:iCs/>
          <w:sz w:val="24"/>
          <w:szCs w:val="24"/>
        </w:rPr>
        <w:t>The Fourier Transform and Its Applications</w:t>
      </w:r>
      <w:r w:rsidRPr="006759F5">
        <w:rPr>
          <w:rFonts w:ascii="Times New Roman" w:eastAsia="Times New Roman" w:hAnsi="Times New Roman" w:cs="Times New Roman"/>
          <w:sz w:val="24"/>
          <w:szCs w:val="24"/>
        </w:rPr>
        <w:t>. McGraw-Hill.</w:t>
      </w:r>
    </w:p>
    <w:p w14:paraId="190FBF9F"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Bureau International des Poids et Mesures (BIPM). (2019). </w:t>
      </w:r>
      <w:r w:rsidRPr="006759F5">
        <w:rPr>
          <w:rFonts w:ascii="Times New Roman" w:eastAsia="Times New Roman" w:hAnsi="Times New Roman" w:cs="Times New Roman"/>
          <w:i/>
          <w:iCs/>
          <w:sz w:val="24"/>
          <w:szCs w:val="24"/>
        </w:rPr>
        <w:t>The International System of Units (SI)</w:t>
      </w:r>
      <w:r w:rsidRPr="006759F5">
        <w:rPr>
          <w:rFonts w:ascii="Times New Roman" w:eastAsia="Times New Roman" w:hAnsi="Times New Roman" w:cs="Times New Roman"/>
          <w:sz w:val="24"/>
          <w:szCs w:val="24"/>
        </w:rPr>
        <w:t xml:space="preserve"> (9th ed.).</w:t>
      </w:r>
    </w:p>
    <w:p w14:paraId="0C36E8E4"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Essen, L., &amp; Parry, J. V. L. (1955). An atomic standard of frequency and time interval: A caesium resonator. </w:t>
      </w:r>
      <w:r w:rsidRPr="006759F5">
        <w:rPr>
          <w:rFonts w:ascii="Times New Roman" w:eastAsia="Times New Roman" w:hAnsi="Times New Roman" w:cs="Times New Roman"/>
          <w:i/>
          <w:iCs/>
          <w:sz w:val="24"/>
          <w:szCs w:val="24"/>
        </w:rPr>
        <w:t>Nature</w:t>
      </w:r>
      <w:r w:rsidRPr="006759F5">
        <w:rPr>
          <w:rFonts w:ascii="Times New Roman" w:eastAsia="Times New Roman" w:hAnsi="Times New Roman" w:cs="Times New Roman"/>
          <w:sz w:val="24"/>
          <w:szCs w:val="24"/>
        </w:rPr>
        <w:t>, 176, 280–282.</w:t>
      </w:r>
    </w:p>
    <w:p w14:paraId="31913A29"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Einstein, A. (1905). Does the inertia of a body depend upon its energy content? </w:t>
      </w:r>
      <w:r w:rsidRPr="006759F5">
        <w:rPr>
          <w:rFonts w:ascii="Times New Roman" w:eastAsia="Times New Roman" w:hAnsi="Times New Roman" w:cs="Times New Roman"/>
          <w:i/>
          <w:iCs/>
          <w:sz w:val="24"/>
          <w:szCs w:val="24"/>
        </w:rPr>
        <w:t>Annalen der Physik</w:t>
      </w:r>
      <w:r w:rsidRPr="006759F5">
        <w:rPr>
          <w:rFonts w:ascii="Times New Roman" w:eastAsia="Times New Roman" w:hAnsi="Times New Roman" w:cs="Times New Roman"/>
          <w:sz w:val="24"/>
          <w:szCs w:val="24"/>
        </w:rPr>
        <w:t>, 18, 639–641.</w:t>
      </w:r>
    </w:p>
    <w:p w14:paraId="2B710DBD"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lastRenderedPageBreak/>
        <w:t xml:space="preserve">Einstein, A. (1915). The field equations of gravitation. </w:t>
      </w:r>
      <w:r w:rsidRPr="006759F5">
        <w:rPr>
          <w:rFonts w:ascii="Times New Roman" w:eastAsia="Times New Roman" w:hAnsi="Times New Roman" w:cs="Times New Roman"/>
          <w:i/>
          <w:iCs/>
          <w:sz w:val="24"/>
          <w:szCs w:val="24"/>
        </w:rPr>
        <w:t>Sitzungsberichte der Königlich Preußischen Akademie der Wissenschaften</w:t>
      </w:r>
      <w:r w:rsidRPr="006759F5">
        <w:rPr>
          <w:rFonts w:ascii="Times New Roman" w:eastAsia="Times New Roman" w:hAnsi="Times New Roman" w:cs="Times New Roman"/>
          <w:sz w:val="24"/>
          <w:szCs w:val="24"/>
        </w:rPr>
        <w:t>, 844–847.</w:t>
      </w:r>
    </w:p>
    <w:p w14:paraId="2B28D325"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Fourier, J. (1822). </w:t>
      </w:r>
      <w:r w:rsidRPr="006759F5">
        <w:rPr>
          <w:rFonts w:ascii="Times New Roman" w:eastAsia="Times New Roman" w:hAnsi="Times New Roman" w:cs="Times New Roman"/>
          <w:i/>
          <w:iCs/>
          <w:sz w:val="24"/>
          <w:szCs w:val="24"/>
        </w:rPr>
        <w:t>Théorie analytique de la chaleur</w:t>
      </w:r>
      <w:r w:rsidRPr="006759F5">
        <w:rPr>
          <w:rFonts w:ascii="Times New Roman" w:eastAsia="Times New Roman" w:hAnsi="Times New Roman" w:cs="Times New Roman"/>
          <w:sz w:val="24"/>
          <w:szCs w:val="24"/>
        </w:rPr>
        <w:t>. Paris: Chez Firmin Didot.</w:t>
      </w:r>
    </w:p>
    <w:p w14:paraId="5838F0DB"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Goldstein, H., Poole, C., &amp; Safko, J. (2002). </w:t>
      </w:r>
      <w:r w:rsidRPr="006759F5">
        <w:rPr>
          <w:rFonts w:ascii="Times New Roman" w:eastAsia="Times New Roman" w:hAnsi="Times New Roman" w:cs="Times New Roman"/>
          <w:i/>
          <w:iCs/>
          <w:sz w:val="24"/>
          <w:szCs w:val="24"/>
        </w:rPr>
        <w:t>Classical Mechanics</w:t>
      </w:r>
      <w:r w:rsidRPr="006759F5">
        <w:rPr>
          <w:rFonts w:ascii="Times New Roman" w:eastAsia="Times New Roman" w:hAnsi="Times New Roman" w:cs="Times New Roman"/>
          <w:sz w:val="24"/>
          <w:szCs w:val="24"/>
        </w:rPr>
        <w:t xml:space="preserve"> (3rd ed.). Addison-Wesley.</w:t>
      </w:r>
    </w:p>
    <w:p w14:paraId="1B7CE72A"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Jackson, J. D. (1999). </w:t>
      </w:r>
      <w:r w:rsidRPr="006759F5">
        <w:rPr>
          <w:rFonts w:ascii="Times New Roman" w:eastAsia="Times New Roman" w:hAnsi="Times New Roman" w:cs="Times New Roman"/>
          <w:i/>
          <w:iCs/>
          <w:sz w:val="24"/>
          <w:szCs w:val="24"/>
        </w:rPr>
        <w:t>Classical Electrodynamics</w:t>
      </w:r>
      <w:r w:rsidRPr="006759F5">
        <w:rPr>
          <w:rFonts w:ascii="Times New Roman" w:eastAsia="Times New Roman" w:hAnsi="Times New Roman" w:cs="Times New Roman"/>
          <w:sz w:val="24"/>
          <w:szCs w:val="24"/>
        </w:rPr>
        <w:t xml:space="preserve"> (3rd ed.). Wiley.</w:t>
      </w:r>
    </w:p>
    <w:p w14:paraId="21BCF56D"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Klein, O. (1926). Quantentheorie und fünfdimensionale Relativitätstheorie. </w:t>
      </w:r>
      <w:r w:rsidRPr="006759F5">
        <w:rPr>
          <w:rFonts w:ascii="Times New Roman" w:eastAsia="Times New Roman" w:hAnsi="Times New Roman" w:cs="Times New Roman"/>
          <w:i/>
          <w:iCs/>
          <w:sz w:val="24"/>
          <w:szCs w:val="24"/>
        </w:rPr>
        <w:t>Zeitschrift für Physik</w:t>
      </w:r>
      <w:r w:rsidRPr="006759F5">
        <w:rPr>
          <w:rFonts w:ascii="Times New Roman" w:eastAsia="Times New Roman" w:hAnsi="Times New Roman" w:cs="Times New Roman"/>
          <w:sz w:val="24"/>
          <w:szCs w:val="24"/>
        </w:rPr>
        <w:t>, 37, 895–906.</w:t>
      </w:r>
    </w:p>
    <w:p w14:paraId="69200ECB"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Gordon, W. (1926). Der Comptoneffekt nach der Schrödingerschen Theorie. </w:t>
      </w:r>
      <w:r w:rsidRPr="006759F5">
        <w:rPr>
          <w:rFonts w:ascii="Times New Roman" w:eastAsia="Times New Roman" w:hAnsi="Times New Roman" w:cs="Times New Roman"/>
          <w:i/>
          <w:iCs/>
          <w:sz w:val="24"/>
          <w:szCs w:val="24"/>
        </w:rPr>
        <w:t>Zeitschrift für Physik</w:t>
      </w:r>
      <w:r w:rsidRPr="006759F5">
        <w:rPr>
          <w:rFonts w:ascii="Times New Roman" w:eastAsia="Times New Roman" w:hAnsi="Times New Roman" w:cs="Times New Roman"/>
          <w:sz w:val="24"/>
          <w:szCs w:val="24"/>
        </w:rPr>
        <w:t>, 40, 117–133.</w:t>
      </w:r>
    </w:p>
    <w:p w14:paraId="0DE4646E"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Landau, L. D., &amp; Lifshitz, E. M. (1976). </w:t>
      </w:r>
      <w:r w:rsidRPr="006759F5">
        <w:rPr>
          <w:rFonts w:ascii="Times New Roman" w:eastAsia="Times New Roman" w:hAnsi="Times New Roman" w:cs="Times New Roman"/>
          <w:i/>
          <w:iCs/>
          <w:sz w:val="24"/>
          <w:szCs w:val="24"/>
        </w:rPr>
        <w:t>Mechanics</w:t>
      </w:r>
      <w:r w:rsidRPr="006759F5">
        <w:rPr>
          <w:rFonts w:ascii="Times New Roman" w:eastAsia="Times New Roman" w:hAnsi="Times New Roman" w:cs="Times New Roman"/>
          <w:sz w:val="24"/>
          <w:szCs w:val="24"/>
        </w:rPr>
        <w:t xml:space="preserve"> (3rd ed.). Butterworth-Heinemann.</w:t>
      </w:r>
    </w:p>
    <w:p w14:paraId="0DED8BE8"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National Institute of Standards and Technology (NIST). (n.d.). Time and Frequency Division. U.S. Department of Commerce.</w:t>
      </w:r>
    </w:p>
    <w:p w14:paraId="6D1D02BE"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Ogata, K. (2010). </w:t>
      </w:r>
      <w:r w:rsidRPr="006759F5">
        <w:rPr>
          <w:rFonts w:ascii="Times New Roman" w:eastAsia="Times New Roman" w:hAnsi="Times New Roman" w:cs="Times New Roman"/>
          <w:i/>
          <w:iCs/>
          <w:sz w:val="24"/>
          <w:szCs w:val="24"/>
        </w:rPr>
        <w:t>Modern Control Engineering</w:t>
      </w:r>
      <w:r w:rsidRPr="006759F5">
        <w:rPr>
          <w:rFonts w:ascii="Times New Roman" w:eastAsia="Times New Roman" w:hAnsi="Times New Roman" w:cs="Times New Roman"/>
          <w:sz w:val="24"/>
          <w:szCs w:val="24"/>
        </w:rPr>
        <w:t xml:space="preserve"> (5th ed.). Prentice Hall.</w:t>
      </w:r>
    </w:p>
    <w:p w14:paraId="0CFF2D76"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Peskin, M. E., &amp; Schroeder, D. V. (1995). </w:t>
      </w:r>
      <w:r w:rsidRPr="006759F5">
        <w:rPr>
          <w:rFonts w:ascii="Times New Roman" w:eastAsia="Times New Roman" w:hAnsi="Times New Roman" w:cs="Times New Roman"/>
          <w:i/>
          <w:iCs/>
          <w:sz w:val="24"/>
          <w:szCs w:val="24"/>
        </w:rPr>
        <w:t>An Introduction to Quantum Field Theory</w:t>
      </w:r>
      <w:r w:rsidRPr="006759F5">
        <w:rPr>
          <w:rFonts w:ascii="Times New Roman" w:eastAsia="Times New Roman" w:hAnsi="Times New Roman" w:cs="Times New Roman"/>
          <w:sz w:val="24"/>
          <w:szCs w:val="24"/>
        </w:rPr>
        <w:t>. Westview Press.</w:t>
      </w:r>
    </w:p>
    <w:p w14:paraId="347FB3DA"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Pfenning, M. J., &amp; Ford, L. H. (1997). The unphysical nature of warp drive. </w:t>
      </w:r>
      <w:r w:rsidRPr="006759F5">
        <w:rPr>
          <w:rFonts w:ascii="Times New Roman" w:eastAsia="Times New Roman" w:hAnsi="Times New Roman" w:cs="Times New Roman"/>
          <w:i/>
          <w:iCs/>
          <w:sz w:val="24"/>
          <w:szCs w:val="24"/>
        </w:rPr>
        <w:t>Classical and Quantum Gravity</w:t>
      </w:r>
      <w:r w:rsidRPr="006759F5">
        <w:rPr>
          <w:rFonts w:ascii="Times New Roman" w:eastAsia="Times New Roman" w:hAnsi="Times New Roman" w:cs="Times New Roman"/>
          <w:sz w:val="24"/>
          <w:szCs w:val="24"/>
        </w:rPr>
        <w:t>, 14(7), 1743–1751.</w:t>
      </w:r>
    </w:p>
    <w:p w14:paraId="22237D93"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Taylor, E. F., &amp; Wheeler, J. A. (1992). </w:t>
      </w:r>
      <w:r w:rsidRPr="006759F5">
        <w:rPr>
          <w:rFonts w:ascii="Times New Roman" w:eastAsia="Times New Roman" w:hAnsi="Times New Roman" w:cs="Times New Roman"/>
          <w:i/>
          <w:iCs/>
          <w:sz w:val="24"/>
          <w:szCs w:val="24"/>
        </w:rPr>
        <w:t>Spacetime Physics</w:t>
      </w:r>
      <w:r w:rsidRPr="006759F5">
        <w:rPr>
          <w:rFonts w:ascii="Times New Roman" w:eastAsia="Times New Roman" w:hAnsi="Times New Roman" w:cs="Times New Roman"/>
          <w:sz w:val="24"/>
          <w:szCs w:val="24"/>
        </w:rPr>
        <w:t xml:space="preserve"> (2nd ed.). W. H. Freeman.</w:t>
      </w:r>
    </w:p>
    <w:p w14:paraId="46953FE7" w14:textId="77777777" w:rsidR="006759F5" w:rsidRPr="006759F5" w:rsidRDefault="006759F5" w:rsidP="006759F5">
      <w:pPr>
        <w:spacing w:before="100" w:beforeAutospacing="1" w:after="100" w:afterAutospacing="1" w:line="240" w:lineRule="auto"/>
        <w:rPr>
          <w:rFonts w:ascii="Times New Roman" w:eastAsia="Times New Roman" w:hAnsi="Times New Roman" w:cs="Times New Roman"/>
          <w:sz w:val="24"/>
          <w:szCs w:val="24"/>
        </w:rPr>
      </w:pPr>
      <w:r w:rsidRPr="006759F5">
        <w:rPr>
          <w:rFonts w:ascii="Times New Roman" w:eastAsia="Times New Roman" w:hAnsi="Times New Roman" w:cs="Times New Roman"/>
          <w:sz w:val="24"/>
          <w:szCs w:val="24"/>
        </w:rPr>
        <w:t xml:space="preserve">Alcubierre, M. (1994). The warp drive: Hyper-fast travel within general relativity. </w:t>
      </w:r>
      <w:r w:rsidRPr="006759F5">
        <w:rPr>
          <w:rFonts w:ascii="Times New Roman" w:eastAsia="Times New Roman" w:hAnsi="Times New Roman" w:cs="Times New Roman"/>
          <w:i/>
          <w:iCs/>
          <w:sz w:val="24"/>
          <w:szCs w:val="24"/>
        </w:rPr>
        <w:t>Classical and Quantum Gravity</w:t>
      </w:r>
      <w:r w:rsidRPr="006759F5">
        <w:rPr>
          <w:rFonts w:ascii="Times New Roman" w:eastAsia="Times New Roman" w:hAnsi="Times New Roman" w:cs="Times New Roman"/>
          <w:sz w:val="24"/>
          <w:szCs w:val="24"/>
        </w:rPr>
        <w:t>, 11(5), L73–L77.</w:t>
      </w:r>
    </w:p>
    <w:p w14:paraId="63DF42FF" w14:textId="2F9177C0" w:rsidR="00835320" w:rsidRDefault="00835320"/>
    <w:p w14:paraId="071A26A7" w14:textId="7E1C6490" w:rsidR="00835320" w:rsidRDefault="00835320">
      <w:pPr>
        <w:jc w:val="center"/>
      </w:pPr>
    </w:p>
    <w:sectPr w:rsidR="008353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05EE3"/>
    <w:multiLevelType w:val="multilevel"/>
    <w:tmpl w:val="FA14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B0179"/>
    <w:multiLevelType w:val="multilevel"/>
    <w:tmpl w:val="7674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3C2001"/>
    <w:multiLevelType w:val="multilevel"/>
    <w:tmpl w:val="20A6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404539"/>
    <w:multiLevelType w:val="multilevel"/>
    <w:tmpl w:val="DD78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738F9"/>
    <w:multiLevelType w:val="multilevel"/>
    <w:tmpl w:val="BEC03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425FD2"/>
    <w:multiLevelType w:val="multilevel"/>
    <w:tmpl w:val="6D88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220BD9"/>
    <w:multiLevelType w:val="multilevel"/>
    <w:tmpl w:val="5C92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268E0"/>
    <w:multiLevelType w:val="multilevel"/>
    <w:tmpl w:val="6AEE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916FD"/>
    <w:multiLevelType w:val="multilevel"/>
    <w:tmpl w:val="4B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BB2A4F"/>
    <w:multiLevelType w:val="multilevel"/>
    <w:tmpl w:val="B874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B4362"/>
    <w:multiLevelType w:val="multilevel"/>
    <w:tmpl w:val="9FF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5737C"/>
    <w:multiLevelType w:val="multilevel"/>
    <w:tmpl w:val="6D14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B2ED4"/>
    <w:multiLevelType w:val="multilevel"/>
    <w:tmpl w:val="4DBC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82128D"/>
    <w:multiLevelType w:val="multilevel"/>
    <w:tmpl w:val="AEC0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C306E"/>
    <w:multiLevelType w:val="multilevel"/>
    <w:tmpl w:val="47DE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E676D"/>
    <w:multiLevelType w:val="multilevel"/>
    <w:tmpl w:val="FBD6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7D1038"/>
    <w:multiLevelType w:val="multilevel"/>
    <w:tmpl w:val="AE1E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BB6C26"/>
    <w:multiLevelType w:val="multilevel"/>
    <w:tmpl w:val="7D6C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B30067"/>
    <w:multiLevelType w:val="multilevel"/>
    <w:tmpl w:val="383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CD6BA9"/>
    <w:multiLevelType w:val="multilevel"/>
    <w:tmpl w:val="F93C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E03866"/>
    <w:multiLevelType w:val="multilevel"/>
    <w:tmpl w:val="B7F2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476275">
    <w:abstractNumId w:val="8"/>
  </w:num>
  <w:num w:numId="2" w16cid:durableId="1986204031">
    <w:abstractNumId w:val="6"/>
  </w:num>
  <w:num w:numId="3" w16cid:durableId="501437148">
    <w:abstractNumId w:val="5"/>
  </w:num>
  <w:num w:numId="4" w16cid:durableId="525338417">
    <w:abstractNumId w:val="4"/>
  </w:num>
  <w:num w:numId="5" w16cid:durableId="656307164">
    <w:abstractNumId w:val="7"/>
  </w:num>
  <w:num w:numId="6" w16cid:durableId="1645230873">
    <w:abstractNumId w:val="3"/>
  </w:num>
  <w:num w:numId="7" w16cid:durableId="506137090">
    <w:abstractNumId w:val="2"/>
  </w:num>
  <w:num w:numId="8" w16cid:durableId="1441685808">
    <w:abstractNumId w:val="1"/>
  </w:num>
  <w:num w:numId="9" w16cid:durableId="885795231">
    <w:abstractNumId w:val="0"/>
  </w:num>
  <w:num w:numId="10" w16cid:durableId="417408138">
    <w:abstractNumId w:val="22"/>
  </w:num>
  <w:num w:numId="11" w16cid:durableId="1508979064">
    <w:abstractNumId w:val="24"/>
  </w:num>
  <w:num w:numId="12" w16cid:durableId="1903129051">
    <w:abstractNumId w:val="10"/>
  </w:num>
  <w:num w:numId="13" w16cid:durableId="633411581">
    <w:abstractNumId w:val="17"/>
  </w:num>
  <w:num w:numId="14" w16cid:durableId="1181091572">
    <w:abstractNumId w:val="9"/>
  </w:num>
  <w:num w:numId="15" w16cid:durableId="721713440">
    <w:abstractNumId w:val="29"/>
  </w:num>
  <w:num w:numId="16" w16cid:durableId="837647151">
    <w:abstractNumId w:val="25"/>
  </w:num>
  <w:num w:numId="17" w16cid:durableId="1646008905">
    <w:abstractNumId w:val="23"/>
  </w:num>
  <w:num w:numId="18" w16cid:durableId="2057897381">
    <w:abstractNumId w:val="14"/>
  </w:num>
  <w:num w:numId="19" w16cid:durableId="725223175">
    <w:abstractNumId w:val="27"/>
  </w:num>
  <w:num w:numId="20" w16cid:durableId="1160660038">
    <w:abstractNumId w:val="19"/>
  </w:num>
  <w:num w:numId="21" w16cid:durableId="1964727135">
    <w:abstractNumId w:val="28"/>
  </w:num>
  <w:num w:numId="22" w16cid:durableId="1393649909">
    <w:abstractNumId w:val="12"/>
  </w:num>
  <w:num w:numId="23" w16cid:durableId="1241986591">
    <w:abstractNumId w:val="21"/>
  </w:num>
  <w:num w:numId="24" w16cid:durableId="799809718">
    <w:abstractNumId w:val="11"/>
  </w:num>
  <w:num w:numId="25" w16cid:durableId="300579432">
    <w:abstractNumId w:val="20"/>
  </w:num>
  <w:num w:numId="26" w16cid:durableId="1343897297">
    <w:abstractNumId w:val="26"/>
  </w:num>
  <w:num w:numId="27" w16cid:durableId="1652364088">
    <w:abstractNumId w:val="15"/>
  </w:num>
  <w:num w:numId="28" w16cid:durableId="954606044">
    <w:abstractNumId w:val="13"/>
  </w:num>
  <w:num w:numId="29" w16cid:durableId="358357391">
    <w:abstractNumId w:val="16"/>
  </w:num>
  <w:num w:numId="30" w16cid:durableId="5165805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2BB"/>
    <w:rsid w:val="0029639D"/>
    <w:rsid w:val="00326F90"/>
    <w:rsid w:val="006759F5"/>
    <w:rsid w:val="0078651D"/>
    <w:rsid w:val="00835320"/>
    <w:rsid w:val="00AA1D8D"/>
    <w:rsid w:val="00B47730"/>
    <w:rsid w:val="00C54F52"/>
    <w:rsid w:val="00CB0664"/>
    <w:rsid w:val="00ED19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0B7DB3"/>
  <w14:defaultImageDpi w14:val="300"/>
  <w15:docId w15:val="{DF7BBB93-F662-4E33-B05F-77DA54512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9</Pages>
  <Words>1217</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3</cp:revision>
  <dcterms:created xsi:type="dcterms:W3CDTF">2013-12-23T23:15:00Z</dcterms:created>
  <dcterms:modified xsi:type="dcterms:W3CDTF">2026-04-12T18:37:00Z</dcterms:modified>
  <cp:category/>
</cp:coreProperties>
</file>