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CC06A" w14:textId="77777777" w:rsidR="00C27B58" w:rsidRDefault="00000000">
      <w:pPr>
        <w:pStyle w:val="Heading1"/>
      </w:pPr>
      <w:r>
        <w:t>Zero-Point Energy, Tachyons, and the Hidden Dynamics of the Vacuum</w:t>
      </w:r>
    </w:p>
    <w:p w14:paraId="15EE8664" w14:textId="77777777" w:rsidR="00C27B58" w:rsidRDefault="00000000">
      <w:r>
        <w:t>By Gabino Casanova</w:t>
      </w:r>
      <w:r>
        <w:br/>
      </w:r>
    </w:p>
    <w:p w14:paraId="7AA662AC" w14:textId="77777777" w:rsidR="00C27B58" w:rsidRDefault="00000000">
      <w:pPr>
        <w:pStyle w:val="Heading2"/>
      </w:pPr>
      <w:r>
        <w:t>1. Quantum Vacuum: “Empty Space” Is Not Empty</w:t>
      </w:r>
    </w:p>
    <w:p w14:paraId="5C24511A" w14:textId="77777777" w:rsidR="00C27B58" w:rsidRDefault="00000000">
      <w:r>
        <w:t>Dr. Hal Puthoff’s research—and the Nobel-winning Lamb Shift (1955) discovered by Willis Lamb—show that what we think of as “empty space” is actually a seething ocean of energy. Quantum field theory describes this as the Zero-Point Energy (ZPE) of the vacuum: every point in space fluctuates with virtual particles that continually blink in and out of existence. These virtual fluctuations create measurable effects such as the Casimir Effect and the Lamb Shift. Even a coffee-cup-sized volume of vacuum holds enough energy to evaporate all Earth’s oceans.</w:t>
      </w:r>
    </w:p>
    <w:p w14:paraId="78482C95" w14:textId="77777777" w:rsidR="00C27B58" w:rsidRDefault="00000000">
      <w:pPr>
        <w:pStyle w:val="Heading2"/>
      </w:pPr>
      <w:r>
        <w:t>2. The Aether and Zero-Point Field</w:t>
      </w:r>
    </w:p>
    <w:p w14:paraId="03E33DAE" w14:textId="77777777" w:rsidR="00C27B58" w:rsidRDefault="00000000">
      <w:r>
        <w:t>Earlier scientists such as Nikola Tesla and Nikolai Kozyrev spoke of an 'aether'—a hidden medium connecting everything. Today, we interpret this concept as the Zero-Point Field (ZPF), the fundamental fabric of reality that sustains particles and fields. Tesla’s insight — 'If you want to find the secrets of the universe, think in terms of energy, frequency, and vibration' — resonates with modern physics, which views reality as vibrational. Matter is simply condensed energy.</w:t>
      </w:r>
    </w:p>
    <w:p w14:paraId="3FC1DEE7" w14:textId="77777777" w:rsidR="00C27B58" w:rsidRDefault="00000000">
      <w:pPr>
        <w:pStyle w:val="Heading2"/>
      </w:pPr>
      <w:r>
        <w:t>3. Crossing the Light Barrier: Tachyon Hypothesis</w:t>
      </w:r>
    </w:p>
    <w:p w14:paraId="0B912195" w14:textId="77777777" w:rsidR="00C27B58" w:rsidRDefault="00000000">
      <w:r>
        <w:t>Einstein’s Special Relativity limits matter to below-light speeds: as velocity approaches light speed, mass increases toward infinity, length contracts, and time slows. Tachyons are hypothetical particles existing beyond light speed. From their perspective, time flows backward and mass becomes imaginary. This symmetry suggests two distinct domains—subluminal (normal matter) and superluminal (tachyonic)—separated by the light barrier.</w:t>
      </w:r>
    </w:p>
    <w:p w14:paraId="59C2068D" w14:textId="77777777" w:rsidR="00C27B58" w:rsidRDefault="00000000">
      <w:pPr>
        <w:pStyle w:val="Heading2"/>
      </w:pPr>
      <w:r>
        <w:t>4. Faster-Than-Light Contexts in Matter</w:t>
      </w:r>
    </w:p>
    <w:p w14:paraId="03823C9F" w14:textId="77777777" w:rsidR="00C27B58" w:rsidRDefault="00000000">
      <w:r>
        <w:t>Nothing can exceed the speed of light in vacuum, but particles can exceed the speed of light in a medium, where light travels more slowly. When charged particles move faster than light within a medium, they emit a blue glow called Čerenkov Radiation, as observed in nuclear reactors. This phenomenon does not violate relativity—it simply exceeds the medium’s local light velocity.</w:t>
      </w:r>
    </w:p>
    <w:p w14:paraId="365C5ABB" w14:textId="77777777" w:rsidR="00C27B58" w:rsidRDefault="00000000">
      <w:pPr>
        <w:pStyle w:val="Heading2"/>
      </w:pPr>
      <w:r>
        <w:t>5. Implications for Advanced Propulsion</w:t>
      </w:r>
    </w:p>
    <w:p w14:paraId="10118FE7" w14:textId="77777777" w:rsidR="00C27B58" w:rsidRDefault="00000000">
      <w:r>
        <w:t>The Zero-Point Field could act as a cosmic energy reservoir for propulsion systems like warp or CST engines. Tachyon frameworks provide a mirror-universe perspective where time and space behave inversely, potentially useful for entanglement propulsion or temporal symmetry navigation. The aether or ZPF may also interact with electromagnetic field manipulation, forming the conceptual foundation for extracting vacuum momentum or curving local spacetime.</w:t>
      </w:r>
    </w:p>
    <w:p w14:paraId="0CCA4DD7" w14:textId="77777777" w:rsidR="00C27B58" w:rsidRDefault="00000000">
      <w:pPr>
        <w:pStyle w:val="Heading2"/>
      </w:pPr>
      <w:r>
        <w:t>Illustrative Diagrams</w:t>
      </w:r>
    </w:p>
    <w:p w14:paraId="565DF31F" w14:textId="1200353B" w:rsidR="00C27B58" w:rsidRDefault="00000000" w:rsidP="0053610A">
      <w:r>
        <w:t>• Vacuum Foam Diagram — showing the quantum fluctuations of empty space.</w:t>
      </w:r>
      <w:r>
        <w:br/>
        <w:t>• Lamb Shift Diagram — depicting how vacuum fields alter electron orbitals.</w:t>
      </w:r>
      <w:r>
        <w:br/>
        <w:t>• Tachyonic Mirror Diagram — showing the two sides of the light-speed boundary and reversed time axis.</w:t>
      </w:r>
      <w:r>
        <w:br/>
        <w:t>• Zero-Point Field Energy Density Model — illustrating field oscillations as waves of potential energy.</w:t>
      </w:r>
      <w:r>
        <w:br/>
        <w:t>Application to Warp Engine Design</w:t>
      </w:r>
    </w:p>
    <w:p w14:paraId="7AC6446C" w14:textId="77777777" w:rsidR="0053610A" w:rsidRDefault="0053610A" w:rsidP="0053610A"/>
    <w:p w14:paraId="4B6BB331" w14:textId="77777777" w:rsidR="0053610A" w:rsidRDefault="0053610A" w:rsidP="0053610A"/>
    <w:p w14:paraId="6D44C8CC" w14:textId="77777777" w:rsidR="00C27B58" w:rsidRDefault="00000000">
      <w:pPr>
        <w:pStyle w:val="Heading2"/>
      </w:pPr>
      <w:r>
        <w:lastRenderedPageBreak/>
        <w:t>1. Zero-Point Field as Energy Reservoir</w:t>
      </w:r>
    </w:p>
    <w:p w14:paraId="02D82077" w14:textId="77777777" w:rsidR="00C27B58" w:rsidRDefault="00000000">
      <w:r>
        <w:t>The Zero-Point Field (ZPF) can serve as an energy substrate for the warp engine. By locally modulating the vacuum energy density using high-frequency electromagnetic fields or Casimir-like arrays, the engine could generate a controllable curvature of spacetime. This enables the formation of a stable warp bubble without requiring infinite energy or exotic matter. In CST terms, the ZPF functions as the base layer for harmonic synchronization of the warp tunnel.</w:t>
      </w:r>
    </w:p>
    <w:p w14:paraId="38622D81" w14:textId="77777777" w:rsidR="00C27B58" w:rsidRDefault="00000000">
      <w:pPr>
        <w:pStyle w:val="Heading2"/>
      </w:pPr>
      <w:r>
        <w:t>2. Lamb Shift and Casimir Arrays for Stability</w:t>
      </w:r>
    </w:p>
    <w:p w14:paraId="29787127" w14:textId="77777777" w:rsidR="00C27B58" w:rsidRDefault="00000000">
      <w:r>
        <w:t>Vacuum fluctuations that affect atomic orbitals (as demonstrated in the Lamb Shift) indicate that quantum vacuum effects are measurable and can be stabilized. The warp engine incorporates Casimir-plate microarrays or quantum capacitor nodes to detect and control vacuum fluctuations. These elements form part of the Quantum Field Equalizer (QFE) system, ensuring stable field coherence within the warp bubble.</w:t>
      </w:r>
    </w:p>
    <w:p w14:paraId="0C99B3FF" w14:textId="77777777" w:rsidR="00C27B58" w:rsidRDefault="00000000">
      <w:pPr>
        <w:pStyle w:val="Heading2"/>
      </w:pPr>
      <w:r>
        <w:t>3. Tachyonic Feedback for Temporal Symmetry</w:t>
      </w:r>
    </w:p>
    <w:p w14:paraId="7F9AF468" w14:textId="77777777" w:rsidR="00C27B58" w:rsidRDefault="00000000">
      <w:r>
        <w:t>The tachyonic domain provides a mathematical mirror to sub-light reality. Within the CST warp field, this domain can be used to establish a faster-than-light information feedback system. Tachyonic equations simulate negative proper time fields that help synchronize internal time (T_CST) with external relativistic frames, allowing the craft to maintain consistent temporal navigation through the warp corridor.</w:t>
      </w:r>
    </w:p>
    <w:p w14:paraId="769F3183" w14:textId="77777777" w:rsidR="00C27B58" w:rsidRDefault="00000000">
      <w:pPr>
        <w:pStyle w:val="Heading2"/>
      </w:pPr>
      <w:r>
        <w:t>4. Zero-Point Oscillators as Drive Field Generators</w:t>
      </w:r>
    </w:p>
    <w:p w14:paraId="543B78FB" w14:textId="77777777" w:rsidR="00C27B58" w:rsidRDefault="00000000">
      <w:r>
        <w:t>Zero-Point Oscillators (ZPOs) replicate the natural quantum jitter of the vacuum. Embedded within warp rings, ZPOs create standing vacuum waves that act as self-contained propulsion fields. These oscillators phase-lock to CST harmonic frequencies, serving as field stabilizers and amplifiers to maintain consistent warp curvature.</w:t>
      </w:r>
    </w:p>
    <w:p w14:paraId="089D21E9" w14:textId="77777777" w:rsidR="00C27B58" w:rsidRDefault="00000000">
      <w:pPr>
        <w:pStyle w:val="Heading2"/>
      </w:pPr>
      <w:r>
        <w:t>5. Cosmic Standard Time (CST) as Temporal Navigation Layer</w:t>
      </w:r>
    </w:p>
    <w:p w14:paraId="0F2A8A44" w14:textId="77777777" w:rsidR="00C27B58" w:rsidRDefault="00000000">
      <w:r>
        <w:t>The CST system provides the temporal navigation framework for warp travel. It anchors the engine’s oscillations to cosmic reference points such as stellar precession and planetary cycles. Through CST synchronization, the warp bubble can re-align its spacetime coordinates, ensuring temporal and spatial stability during faster-than-light transitions.</w:t>
      </w:r>
    </w:p>
    <w:p w14:paraId="6E070308" w14:textId="77777777" w:rsidR="00C27B58" w:rsidRDefault="00000000">
      <w:pPr>
        <w:pStyle w:val="Heading2"/>
      </w:pPr>
      <w:r>
        <w:t>Summary Table</w:t>
      </w:r>
    </w:p>
    <w:tbl>
      <w:tblPr>
        <w:tblW w:w="0" w:type="auto"/>
        <w:tblLook w:val="04A0" w:firstRow="1" w:lastRow="0" w:firstColumn="1" w:lastColumn="0" w:noHBand="0" w:noVBand="1"/>
      </w:tblPr>
      <w:tblGrid>
        <w:gridCol w:w="2880"/>
        <w:gridCol w:w="2880"/>
        <w:gridCol w:w="2880"/>
      </w:tblGrid>
      <w:tr w:rsidR="00C27B58" w14:paraId="5DE986C1" w14:textId="77777777">
        <w:tc>
          <w:tcPr>
            <w:tcW w:w="2880" w:type="dxa"/>
          </w:tcPr>
          <w:p w14:paraId="1E0C29D1" w14:textId="77777777" w:rsidR="00C27B58" w:rsidRDefault="00000000">
            <w:r>
              <w:t>Layer</w:t>
            </w:r>
          </w:p>
        </w:tc>
        <w:tc>
          <w:tcPr>
            <w:tcW w:w="2880" w:type="dxa"/>
          </w:tcPr>
          <w:p w14:paraId="53ACFD95" w14:textId="77777777" w:rsidR="00C27B58" w:rsidRDefault="00000000">
            <w:r>
              <w:t>Physics Basis</w:t>
            </w:r>
          </w:p>
        </w:tc>
        <w:tc>
          <w:tcPr>
            <w:tcW w:w="2880" w:type="dxa"/>
          </w:tcPr>
          <w:p w14:paraId="2E8921FC" w14:textId="77777777" w:rsidR="00C27B58" w:rsidRDefault="00000000">
            <w:r>
              <w:t>Function in Warp Engine</w:t>
            </w:r>
          </w:p>
        </w:tc>
      </w:tr>
      <w:tr w:rsidR="00C27B58" w14:paraId="466CC3D8" w14:textId="77777777">
        <w:tc>
          <w:tcPr>
            <w:tcW w:w="2880" w:type="dxa"/>
          </w:tcPr>
          <w:p w14:paraId="62E37B85" w14:textId="77777777" w:rsidR="00C27B58" w:rsidRDefault="00000000">
            <w:r>
              <w:t>Zero-Point Field</w:t>
            </w:r>
          </w:p>
        </w:tc>
        <w:tc>
          <w:tcPr>
            <w:tcW w:w="2880" w:type="dxa"/>
          </w:tcPr>
          <w:p w14:paraId="4C067C40" w14:textId="77777777" w:rsidR="00C27B58" w:rsidRDefault="00000000">
            <w:r>
              <w:t>Quantum vacuum energy</w:t>
            </w:r>
          </w:p>
        </w:tc>
        <w:tc>
          <w:tcPr>
            <w:tcW w:w="2880" w:type="dxa"/>
          </w:tcPr>
          <w:p w14:paraId="2FD98269" w14:textId="77777777" w:rsidR="00C27B58" w:rsidRDefault="00000000">
            <w:r>
              <w:t>Energy substrate for spacetime curvature</w:t>
            </w:r>
          </w:p>
        </w:tc>
      </w:tr>
      <w:tr w:rsidR="00C27B58" w14:paraId="529035A7" w14:textId="77777777">
        <w:tc>
          <w:tcPr>
            <w:tcW w:w="2880" w:type="dxa"/>
          </w:tcPr>
          <w:p w14:paraId="55A21D2B" w14:textId="77777777" w:rsidR="00C27B58" w:rsidRDefault="00000000">
            <w:r>
              <w:t>Casimir / Lamb Shift</w:t>
            </w:r>
          </w:p>
        </w:tc>
        <w:tc>
          <w:tcPr>
            <w:tcW w:w="2880" w:type="dxa"/>
          </w:tcPr>
          <w:p w14:paraId="4745E372" w14:textId="77777777" w:rsidR="00C27B58" w:rsidRDefault="00000000">
            <w:r>
              <w:t>Quantum fluctuation sensing</w:t>
            </w:r>
          </w:p>
        </w:tc>
        <w:tc>
          <w:tcPr>
            <w:tcW w:w="2880" w:type="dxa"/>
          </w:tcPr>
          <w:p w14:paraId="5F336AAC" w14:textId="77777777" w:rsidR="00C27B58" w:rsidRDefault="00000000">
            <w:r>
              <w:t>Field stabilization and feedback</w:t>
            </w:r>
          </w:p>
        </w:tc>
      </w:tr>
      <w:tr w:rsidR="00C27B58" w14:paraId="6FC8D232" w14:textId="77777777">
        <w:tc>
          <w:tcPr>
            <w:tcW w:w="2880" w:type="dxa"/>
          </w:tcPr>
          <w:p w14:paraId="01673A76" w14:textId="77777777" w:rsidR="00C27B58" w:rsidRDefault="00000000">
            <w:r>
              <w:t>Tachyon Domain</w:t>
            </w:r>
          </w:p>
        </w:tc>
        <w:tc>
          <w:tcPr>
            <w:tcW w:w="2880" w:type="dxa"/>
          </w:tcPr>
          <w:p w14:paraId="703A7ED5" w14:textId="77777777" w:rsidR="00C27B58" w:rsidRDefault="00000000">
            <w:r>
              <w:t>Superluminal mirror frame</w:t>
            </w:r>
          </w:p>
        </w:tc>
        <w:tc>
          <w:tcPr>
            <w:tcW w:w="2880" w:type="dxa"/>
          </w:tcPr>
          <w:p w14:paraId="0F20938A" w14:textId="77777777" w:rsidR="00C27B58" w:rsidRDefault="00000000">
            <w:r>
              <w:t>Temporal symmetry and feedback channel</w:t>
            </w:r>
          </w:p>
        </w:tc>
      </w:tr>
      <w:tr w:rsidR="00C27B58" w14:paraId="5A6F5D12" w14:textId="77777777">
        <w:tc>
          <w:tcPr>
            <w:tcW w:w="2880" w:type="dxa"/>
          </w:tcPr>
          <w:p w14:paraId="0634C9CB" w14:textId="77777777" w:rsidR="00C27B58" w:rsidRDefault="00000000">
            <w:r>
              <w:t>Zero-Point Oscillators</w:t>
            </w:r>
          </w:p>
        </w:tc>
        <w:tc>
          <w:tcPr>
            <w:tcW w:w="2880" w:type="dxa"/>
          </w:tcPr>
          <w:p w14:paraId="322E2D84" w14:textId="77777777" w:rsidR="00C27B58" w:rsidRDefault="00000000">
            <w:r>
              <w:t>Vacuum resonance</w:t>
            </w:r>
          </w:p>
        </w:tc>
        <w:tc>
          <w:tcPr>
            <w:tcW w:w="2880" w:type="dxa"/>
          </w:tcPr>
          <w:p w14:paraId="3094E058" w14:textId="77777777" w:rsidR="00C27B58" w:rsidRDefault="00000000">
            <w:r>
              <w:t>Field propulsion and bubble maintenance</w:t>
            </w:r>
          </w:p>
        </w:tc>
      </w:tr>
      <w:tr w:rsidR="00C27B58" w14:paraId="6B6FD4D5" w14:textId="77777777">
        <w:tc>
          <w:tcPr>
            <w:tcW w:w="2880" w:type="dxa"/>
          </w:tcPr>
          <w:p w14:paraId="7D5251DA" w14:textId="77777777" w:rsidR="00C27B58" w:rsidRDefault="00000000">
            <w:r>
              <w:t>CST Time</w:t>
            </w:r>
          </w:p>
        </w:tc>
        <w:tc>
          <w:tcPr>
            <w:tcW w:w="2880" w:type="dxa"/>
          </w:tcPr>
          <w:p w14:paraId="5A1B21FD" w14:textId="77777777" w:rsidR="00C27B58" w:rsidRDefault="00000000">
            <w:r>
              <w:t>Universal synchronization</w:t>
            </w:r>
          </w:p>
        </w:tc>
        <w:tc>
          <w:tcPr>
            <w:tcW w:w="2880" w:type="dxa"/>
          </w:tcPr>
          <w:p w14:paraId="5DF3C23F" w14:textId="77777777" w:rsidR="00C27B58" w:rsidRDefault="00000000">
            <w:r>
              <w:t>Navigation stability across spacetime frames</w:t>
            </w:r>
          </w:p>
        </w:tc>
      </w:tr>
    </w:tbl>
    <w:p w14:paraId="3C44E970" w14:textId="77777777" w:rsidR="00191FAA" w:rsidRDefault="00191FAA" w:rsidP="0053610A"/>
    <w:sectPr w:rsidR="00191FAA" w:rsidSect="0053610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31729">
    <w:abstractNumId w:val="8"/>
  </w:num>
  <w:num w:numId="2" w16cid:durableId="325714472">
    <w:abstractNumId w:val="6"/>
  </w:num>
  <w:num w:numId="3" w16cid:durableId="507604154">
    <w:abstractNumId w:val="5"/>
  </w:num>
  <w:num w:numId="4" w16cid:durableId="707880221">
    <w:abstractNumId w:val="4"/>
  </w:num>
  <w:num w:numId="5" w16cid:durableId="1900704374">
    <w:abstractNumId w:val="7"/>
  </w:num>
  <w:num w:numId="6" w16cid:durableId="957296011">
    <w:abstractNumId w:val="3"/>
  </w:num>
  <w:num w:numId="7" w16cid:durableId="1166819361">
    <w:abstractNumId w:val="2"/>
  </w:num>
  <w:num w:numId="8" w16cid:durableId="121509051">
    <w:abstractNumId w:val="1"/>
  </w:num>
  <w:num w:numId="9" w16cid:durableId="1904292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1FAA"/>
    <w:rsid w:val="0029639D"/>
    <w:rsid w:val="00326F90"/>
    <w:rsid w:val="0053610A"/>
    <w:rsid w:val="008B1453"/>
    <w:rsid w:val="00AA1D8D"/>
    <w:rsid w:val="00B47730"/>
    <w:rsid w:val="00C27B5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E82E4A"/>
  <w14:defaultImageDpi w14:val="300"/>
  <w15:docId w15:val="{D796699E-36DD-4C34-9140-CA3D4001B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Gabino Casanova</cp:lastModifiedBy>
  <cp:revision>2</cp:revision>
  <dcterms:created xsi:type="dcterms:W3CDTF">2013-12-23T23:15:00Z</dcterms:created>
  <dcterms:modified xsi:type="dcterms:W3CDTF">2025-10-13T03:58:00Z</dcterms:modified>
  <cp:category/>
</cp:coreProperties>
</file>