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998A" w14:textId="77777777" w:rsidR="00D93394" w:rsidRDefault="00000000">
      <w:pPr>
        <w:jc w:val="center"/>
      </w:pPr>
      <w:r>
        <w:rPr>
          <w:b/>
          <w:sz w:val="36"/>
        </w:rPr>
        <w:t>Relativity, Electromagnetism, and Quantum Foundations for CST Warp‑Drive Engines and Navigation</w:t>
      </w:r>
    </w:p>
    <w:p w14:paraId="30A5E1A1" w14:textId="77777777" w:rsidR="00D93394" w:rsidRDefault="00000000">
      <w:pPr>
        <w:jc w:val="center"/>
      </w:pPr>
      <w:r>
        <w:rPr>
          <w:i/>
          <w:sz w:val="28"/>
        </w:rPr>
        <w:t>Lorentz Transformations, Biot–Savart Law, Gauss’s Laws (Electric &amp; Magnetic), and de Broglie Wave–Particle Duality</w:t>
      </w:r>
    </w:p>
    <w:p w14:paraId="7C949378" w14:textId="79E73681" w:rsidR="00D93394" w:rsidRDefault="00000000" w:rsidP="000964B6">
      <w:pPr>
        <w:jc w:val="center"/>
      </w:pPr>
      <w:r>
        <w:rPr>
          <w:b/>
        </w:rPr>
        <w:t>Prepared for: Gabino Casanova — CST Warp‑Geometry Project</w:t>
      </w:r>
      <w:r>
        <w:rPr>
          <w:b/>
        </w:rPr>
        <w:br/>
      </w:r>
      <w:r>
        <w:t>Date: October 26, 2025</w:t>
      </w:r>
      <w:r>
        <w:br/>
        <w:t>Version: 1.0</w:t>
      </w:r>
      <w:r>
        <w:br/>
      </w:r>
    </w:p>
    <w:p w14:paraId="6AEA700E" w14:textId="77777777" w:rsidR="00D93394" w:rsidRDefault="00000000">
      <w:pPr>
        <w:pStyle w:val="Heading1"/>
      </w:pPr>
      <w:r>
        <w:t>Abstract</w:t>
      </w:r>
    </w:p>
    <w:p w14:paraId="3ED9C6E4" w14:textId="77777777" w:rsidR="00D93394" w:rsidRDefault="00000000">
      <w:r>
        <w:t>We present a compact technical synthesis showing how five pillars of modern physics—Lorentz transformations, the Biot–Savart law, Gauss’s law for electricity, Gauss’s law for magnetism, and de Broglie’s wave–particle duality—interlock to support a CST (Cosmic Standard Time) Warp‑Geometry architecture for propulsion and navigation. We outline governing equations, operational interpretations, and mission‑level implications for timing, field shaping, and state estimation. The proposed framework treats the vehicle, its electromagnetic fields, and ambient photon flux as a coherent, synchronized system in which geometry, information, and energy flows are jointly controlled.</w:t>
      </w:r>
    </w:p>
    <w:p w14:paraId="43AFF1C5" w14:textId="77777777" w:rsidR="00D93394" w:rsidRDefault="00000000">
      <w:pPr>
        <w:pStyle w:val="Heading1"/>
      </w:pPr>
      <w:r>
        <w:t>Contents</w:t>
      </w:r>
    </w:p>
    <w:p w14:paraId="4FDADD58" w14:textId="77777777" w:rsidR="00D93394" w:rsidRDefault="00000000">
      <w:pPr>
        <w:ind w:left="360"/>
      </w:pPr>
      <w:r>
        <w:t>1. Introduction</w:t>
      </w:r>
    </w:p>
    <w:p w14:paraId="1A6A5D73" w14:textId="77777777" w:rsidR="00D93394" w:rsidRDefault="00000000">
      <w:pPr>
        <w:ind w:left="360"/>
      </w:pPr>
      <w:r>
        <w:t>2. Lorentz Transformations (Special Relativity)</w:t>
      </w:r>
    </w:p>
    <w:p w14:paraId="7D8FCE81" w14:textId="77777777" w:rsidR="00D93394" w:rsidRDefault="00000000">
      <w:pPr>
        <w:ind w:left="360"/>
      </w:pPr>
      <w:r>
        <w:t>3. Biot–Savart Law (Field Generation by Currents)</w:t>
      </w:r>
    </w:p>
    <w:p w14:paraId="10F220E1" w14:textId="77777777" w:rsidR="00D93394" w:rsidRDefault="00000000">
      <w:pPr>
        <w:ind w:left="360"/>
      </w:pPr>
      <w:r>
        <w:t>4. Gauss’s Law for Electricity (Field Flux &amp; Charge)</w:t>
      </w:r>
    </w:p>
    <w:p w14:paraId="33E40E83" w14:textId="77777777" w:rsidR="00D93394" w:rsidRDefault="00000000">
      <w:pPr>
        <w:ind w:left="360"/>
      </w:pPr>
      <w:r>
        <w:t>5. Gauss’s Law for Magnetism (No Magnetic Monopoles)</w:t>
      </w:r>
    </w:p>
    <w:p w14:paraId="4F0D88F6" w14:textId="77777777" w:rsidR="00D93394" w:rsidRDefault="00000000">
      <w:pPr>
        <w:ind w:left="360"/>
      </w:pPr>
      <w:r>
        <w:t>6. de Broglie Wave–Particle Duality (Quantum Kinematics)</w:t>
      </w:r>
    </w:p>
    <w:p w14:paraId="554C293F" w14:textId="77777777" w:rsidR="00D93394" w:rsidRDefault="00000000">
      <w:pPr>
        <w:ind w:left="360"/>
      </w:pPr>
      <w:r>
        <w:t>7. CST Warp‑Geometry Integration: From Equations to Controls</w:t>
      </w:r>
    </w:p>
    <w:p w14:paraId="65D73498" w14:textId="77777777" w:rsidR="00D93394" w:rsidRDefault="00000000">
      <w:pPr>
        <w:ind w:left="360"/>
      </w:pPr>
      <w:r>
        <w:t>8. Worked Examples and Engineering Notes</w:t>
      </w:r>
    </w:p>
    <w:p w14:paraId="0C099BD7" w14:textId="77777777" w:rsidR="00D93394" w:rsidRDefault="00000000">
      <w:pPr>
        <w:ind w:left="360"/>
      </w:pPr>
      <w:r>
        <w:t>9. Limitations, Open Problems, and Test Protocols</w:t>
      </w:r>
    </w:p>
    <w:p w14:paraId="67AC3ACE" w14:textId="77777777" w:rsidR="00D93394" w:rsidRDefault="00000000">
      <w:pPr>
        <w:ind w:left="360"/>
      </w:pPr>
      <w:r>
        <w:lastRenderedPageBreak/>
        <w:t>10. References</w:t>
      </w:r>
    </w:p>
    <w:p w14:paraId="5558D769" w14:textId="77777777" w:rsidR="00D93394" w:rsidRDefault="00000000">
      <w:pPr>
        <w:pStyle w:val="Heading1"/>
      </w:pPr>
      <w:r>
        <w:t>1. Introduction</w:t>
      </w:r>
    </w:p>
    <w:p w14:paraId="4C4CCA89" w14:textId="77777777" w:rsidR="00D93394" w:rsidRDefault="00000000">
      <w:r>
        <w:t>Warp‑drive concepts require simultaneous control of kinematics, fields, and quantum coherence. In the CST Warp‑Geometry approach, Cosmic Standard Time provides a synchronized temporal reference that ties together relativistic timing, electromagnetic field topology, and quantum‑state bookkeeping. This paper collects the core equations and clarifies their roles in engine design (field generation and stability), navigation (state estimation and timing), and calibration (photon‑flux and frequency standards).</w:t>
      </w:r>
    </w:p>
    <w:p w14:paraId="3902B91F" w14:textId="77777777" w:rsidR="00D93394" w:rsidRDefault="00000000">
      <w:pPr>
        <w:pStyle w:val="Heading1"/>
      </w:pPr>
      <w:r>
        <w:t>2. Lorentz Transformations (Special Relativity)</w:t>
      </w:r>
    </w:p>
    <w:p w14:paraId="38849B73" w14:textId="77777777" w:rsidR="00D93394" w:rsidRDefault="00000000">
      <w:r>
        <w:t>The Lorentz transformation connects spacetime coordinates (t, x, y, z) between inertial frames moving at relative speed v. For motion along x with β = v/c and γ = 1/√(1−β²):</w:t>
      </w:r>
    </w:p>
    <w:p w14:paraId="524C65AA" w14:textId="77777777" w:rsidR="00D93394" w:rsidRDefault="00000000">
      <w:r>
        <w:t>t′ = γ ( t − (v x) / c² )</w:t>
      </w:r>
    </w:p>
    <w:p w14:paraId="57E51142" w14:textId="77777777" w:rsidR="00D93394" w:rsidRDefault="00000000">
      <w:r>
        <w:t>x′ = γ ( x − v t )</w:t>
      </w:r>
    </w:p>
    <w:p w14:paraId="09D3FD67" w14:textId="77777777" w:rsidR="00D93394" w:rsidRDefault="00000000">
      <w:r>
        <w:t>y′ = y,    z′ = z</w:t>
      </w:r>
    </w:p>
    <w:p w14:paraId="24AD0587" w14:textId="77777777" w:rsidR="00D93394" w:rsidRDefault="00000000">
      <w:r>
        <w:t>Consequences:</w:t>
      </w:r>
      <w:r>
        <w:br/>
        <w:t>• Time dilation: Δt′ = γ Δt</w:t>
      </w:r>
      <w:r>
        <w:br/>
        <w:t>• Length contraction: L′ = L/γ (along motion)</w:t>
      </w:r>
      <w:r>
        <w:br/>
        <w:t>• Relativistic velocity addition and simultaneity shifts</w:t>
      </w:r>
      <w:r>
        <w:br/>
        <w:t>• Energy–momentum relation: E² = (pc)² + (m c²)²</w:t>
      </w:r>
    </w:p>
    <w:p w14:paraId="1CB9CCDC" w14:textId="77777777" w:rsidR="00D93394" w:rsidRDefault="00000000">
      <w:r>
        <w:t>CST Relevance: Precise synchronization across the vehicle’s sensor fusion, star trackers, and photon‑flux meters requires Lorentz‑corrected timing. Navigation filters must transform measurements between the ship frame and CST with γ‑accurate latencies to avoid bias in state estimation at high β.</w:t>
      </w:r>
    </w:p>
    <w:p w14:paraId="1EF4CBF8" w14:textId="77777777" w:rsidR="00D93394" w:rsidRDefault="00000000">
      <w:pPr>
        <w:pStyle w:val="Heading1"/>
      </w:pPr>
      <w:r>
        <w:t>3. Biot–Savart Law (Field Generation by Currents)</w:t>
      </w:r>
    </w:p>
    <w:p w14:paraId="3041BDD7" w14:textId="77777777" w:rsidR="00D93394" w:rsidRDefault="00000000">
      <w:r>
        <w:t>The Biot–Savart law gives the magnetic field d𝐁 at point 𝐫 due to an infinitesimal current element I d𝐥 at 𝐫′:</w:t>
      </w:r>
    </w:p>
    <w:p w14:paraId="651CA54A" w14:textId="77777777" w:rsidR="00D93394" w:rsidRDefault="00000000">
      <w:r>
        <w:t>d𝐁(𝐫) = (μ₀ / 4π) ⋅ I d𝐥 × (𝐫 − 𝐫′) / |𝐫 − 𝐫′|³</w:t>
      </w:r>
    </w:p>
    <w:p w14:paraId="16FDECF7" w14:textId="77777777" w:rsidR="00D93394" w:rsidRDefault="00000000">
      <w:r>
        <w:t>For a steady current distribution, 𝐁 is obtained by integrating over the conductor geometry. Engine coils, plasma channels, and return paths can be shaped to realize target 𝐁‑topologies and associated Lorentz forces 𝐅 = q (𝐄 + 𝐯×𝐁).</w:t>
      </w:r>
    </w:p>
    <w:p w14:paraId="2678747B" w14:textId="77777777" w:rsidR="00D93394" w:rsidRDefault="00000000">
      <w:r>
        <w:lastRenderedPageBreak/>
        <w:t>CST Relevance: By scripting coil currents with CST‑locked phase, we can maintain quasi‑static or rotating magnetic geometries that confine plasma, shape momentum exchange with ambient media, or couple to photon pressure asymmetries for micro‑thrust vectoring.</w:t>
      </w:r>
    </w:p>
    <w:p w14:paraId="761967B9" w14:textId="77777777" w:rsidR="00D93394" w:rsidRDefault="00000000">
      <w:pPr>
        <w:pStyle w:val="Heading1"/>
      </w:pPr>
      <w:r>
        <w:t>4. Gauss’s Law for Electricity (Field Flux &amp; Charge)</w:t>
      </w:r>
    </w:p>
    <w:p w14:paraId="47AD2AA1" w14:textId="77777777" w:rsidR="00D93394" w:rsidRDefault="00000000">
      <w:r>
        <w:t>Gauss’s law relates electric flux through a closed surface S to enclosed charge Q_encl:</w:t>
      </w:r>
    </w:p>
    <w:p w14:paraId="5949373B" w14:textId="77777777" w:rsidR="00D93394" w:rsidRDefault="00000000">
      <w:r>
        <w:t>∮_S 𝐄 · d𝐀 = Q_encl / ε₀</w:t>
      </w:r>
    </w:p>
    <w:p w14:paraId="68D8BCFB" w14:textId="77777777" w:rsidR="00D93394" w:rsidRDefault="00000000">
      <w:r>
        <w:t>Differential form: ∇·𝐄 = ρ/ε₀. This enables fast charge accounting and field estimates without solving full boundary‑value problems.</w:t>
      </w:r>
    </w:p>
    <w:p w14:paraId="5DD6CE43" w14:textId="77777777" w:rsidR="00D93394" w:rsidRDefault="00000000">
      <w:r>
        <w:t>CST Relevance: Real‑time flux monitors around the warp chamber quantify charge imbalance and dielectric stress. Maintaining ∇·𝐄 within thresholds prevents arcing, preserves coil insulation integrity, and stabilizes plasma sheaths.</w:t>
      </w:r>
    </w:p>
    <w:p w14:paraId="14B3BB75" w14:textId="77777777" w:rsidR="00D93394" w:rsidRDefault="00000000">
      <w:pPr>
        <w:pStyle w:val="Heading1"/>
      </w:pPr>
      <w:r>
        <w:t>5. Gauss’s Law for Magnetism (No Magnetic Monopoles)</w:t>
      </w:r>
    </w:p>
    <w:p w14:paraId="4E2B262F" w14:textId="77777777" w:rsidR="00D93394" w:rsidRDefault="00000000">
      <w:r>
        <w:t>Magnetic field lines are divergenceless, expressing the empirical absence of isolated magnetic charges:</w:t>
      </w:r>
    </w:p>
    <w:p w14:paraId="6864B921" w14:textId="77777777" w:rsidR="00D93394" w:rsidRDefault="00000000">
      <w:r>
        <w:t>∮_S 𝐁 · d𝐀 = 0    ⇔    ∇·𝐁 = 0</w:t>
      </w:r>
    </w:p>
    <w:p w14:paraId="7B1F21F1" w14:textId="77777777" w:rsidR="00D93394" w:rsidRDefault="00000000">
      <w:r>
        <w:t>Engineering implication: magnetic field lines are continuous; every ‘source’ is also a ‘sink’. Coil and plasma geometries must provide complete return paths to avoid unwanted stray fields and torques.</w:t>
      </w:r>
    </w:p>
    <w:p w14:paraId="74661D86" w14:textId="77777777" w:rsidR="00D93394" w:rsidRDefault="00000000">
      <w:r>
        <w:t>CST Relevance: Ensuring ∇·𝐁 = 0 numerically in field‑solver and controller loops eliminates drift in magnetic topology, improving thrust vector repeatability and sensor calibration.</w:t>
      </w:r>
    </w:p>
    <w:p w14:paraId="0C878B01" w14:textId="77777777" w:rsidR="00D93394" w:rsidRDefault="00000000">
      <w:pPr>
        <w:pStyle w:val="Heading1"/>
      </w:pPr>
      <w:r>
        <w:t>6. de Broglie Wave–Particle Duality (Quantum Kinematics)</w:t>
      </w:r>
    </w:p>
    <w:p w14:paraId="46EC5970" w14:textId="77777777" w:rsidR="00D93394" w:rsidRDefault="00000000">
      <w:r>
        <w:t>de Broglie hypothesized that matter has a wavelength λ associated with momentum p:</w:t>
      </w:r>
    </w:p>
    <w:p w14:paraId="743000BD" w14:textId="77777777" w:rsidR="00D93394" w:rsidRDefault="00000000">
      <w:r>
        <w:t>λ = h / p</w:t>
      </w:r>
    </w:p>
    <w:p w14:paraId="709957CE" w14:textId="77777777" w:rsidR="00D93394" w:rsidRDefault="00000000">
      <w:r>
        <w:t>For electrons and ions in coils and plasma, wave character influences interference, tunneling, and transport. Coherence length and phase control can enhance coupling between engine fields and particle ensembles.</w:t>
      </w:r>
    </w:p>
    <w:p w14:paraId="45CA717F" w14:textId="77777777" w:rsidR="00D93394" w:rsidRDefault="00000000">
      <w:r>
        <w:lastRenderedPageBreak/>
        <w:t>CST Relevance: A CST‑locked phase reference allows coherent drive of quantum‑sensitive subsystems (e.g., magnetometers, Rb/Cs clocks, photon counters), improving navigation (star‑tracker sensitivity, atom interferometry) and engine diagnostics (spectral line locks, plasma modes).</w:t>
      </w:r>
    </w:p>
    <w:p w14:paraId="0270F220" w14:textId="77777777" w:rsidR="00D93394" w:rsidRDefault="00000000">
      <w:pPr>
        <w:pStyle w:val="Heading1"/>
      </w:pPr>
      <w:r>
        <w:t>7. CST Warp‑Geometry Integration: From Equations to Controls</w:t>
      </w:r>
    </w:p>
    <w:p w14:paraId="42057910" w14:textId="77777777" w:rsidR="00D93394" w:rsidRDefault="00000000">
      <w:r>
        <w:t>We integrate the above into a control stack:</w:t>
      </w:r>
      <w:r>
        <w:br/>
        <w:t>1) Kinematics: Apply Lorentz transformations to all time‑stamps and baselines (CST ↔ ship frame) ensuring γ‑consistent latency.</w:t>
      </w:r>
      <w:r>
        <w:br/>
        <w:t>2) Field Synthesis: Use Biot–Savart to design coil currents producing target 𝐁‑manifolds; verify ∇·𝐁 = 0 numerically.</w:t>
      </w:r>
      <w:r>
        <w:br/>
        <w:t>3) Flux Accounting: Enforce Gauss(𝐄) constraints via charge sensors and boundary potentials; keep dielectric stress within safe margins.</w:t>
      </w:r>
      <w:r>
        <w:br/>
        <w:t>4) Quantum Sensing: Leverage de Broglie coherence (atom interferometers, optical clocks) as inertial and gravimetric references.</w:t>
      </w:r>
      <w:r>
        <w:br/>
        <w:t>5) Photon‑Flux Calibration: Use CST‑synchronized photometry to measure directional energy density for micro‑thrust and navigation cues.</w:t>
      </w:r>
    </w:p>
    <w:p w14:paraId="67022092" w14:textId="77777777" w:rsidR="00D93394" w:rsidRDefault="00000000">
      <w:r>
        <w:t>A useful propulsion‑navigation performance channel is the photon‑flux asymmetry factor A ≔ (Φ_fwd − Φ_aft)/(Φ_fwd + Φ_aft). Maintaining a commanded A via field‑driven scattering or plasma mirror alignment yields controllable micro‑newton‑level thrust and bearing cues.</w:t>
      </w:r>
    </w:p>
    <w:p w14:paraId="57A87600" w14:textId="77777777" w:rsidR="00D93394" w:rsidRDefault="00000000">
      <w:pPr>
        <w:pStyle w:val="Heading1"/>
      </w:pPr>
      <w:r>
        <w:t>8. Worked Examples and Engineering Notes</w:t>
      </w:r>
    </w:p>
    <w:p w14:paraId="74C3CC97" w14:textId="77777777" w:rsidR="00D93394" w:rsidRDefault="00000000">
      <w:r>
        <w:t>Example 1 — Coil Ring Field (Biot–Savart):  On‑axis field of a circular loop of radius R carrying current I at distance z:</w:t>
      </w:r>
    </w:p>
    <w:p w14:paraId="168CC0F5" w14:textId="77777777" w:rsidR="00D93394" w:rsidRDefault="00000000">
      <w:r>
        <w:t>B_z(z) = (μ₀ I R²) / (2 (R² + z²)^{3/2})</w:t>
      </w:r>
    </w:p>
    <w:p w14:paraId="30D33379" w14:textId="77777777" w:rsidR="00D93394" w:rsidRDefault="00000000">
      <w:r>
        <w:t>This profile guides placement of sensor headways and plasma mirrors. CST phase control modulates I to dither the field for system identification.</w:t>
      </w:r>
    </w:p>
    <w:p w14:paraId="316A72D6" w14:textId="77777777" w:rsidR="00D93394" w:rsidRDefault="00000000">
      <w:r>
        <w:t>Example 2 — Charge Shell (Gauss’s Law):  For a spherical shell with total charge Q, outside field is E(r) = (1/4π ε₀) Q / r², inside is zero.</w:t>
      </w:r>
    </w:p>
    <w:p w14:paraId="5BC45954" w14:textId="77777777" w:rsidR="00D93394" w:rsidRDefault="00000000">
      <w:r>
        <w:t>Using guard shells around the warp chamber limits stray E‑field exposure to instrumentation while allowing rapid bleed‑down via controlled Q.</w:t>
      </w:r>
    </w:p>
    <w:p w14:paraId="16A3C056" w14:textId="77777777" w:rsidR="00D93394" w:rsidRDefault="00000000">
      <w:r>
        <w:t>Example 3 — Time Dilation Budget (Lorentz):  If v = 0.1 c, γ ≈ 1.005; a 1‑hour CST interval appears 18 seconds longer on the ship’s clock without correction.</w:t>
      </w:r>
    </w:p>
    <w:p w14:paraId="23166E66" w14:textId="77777777" w:rsidR="00D93394" w:rsidRDefault="00000000">
      <w:r>
        <w:lastRenderedPageBreak/>
        <w:t>Navigation filters must include this bias or star‑tracker solutions will drift relative to CST ephemerides.</w:t>
      </w:r>
    </w:p>
    <w:p w14:paraId="2E95F9A6" w14:textId="77777777" w:rsidR="00D93394" w:rsidRDefault="00000000">
      <w:r>
        <w:t>Example 4 — Electron de Broglie Wavelength:  For 100 eV electrons, p ≈ √(2 m_e E) and λ ≈ h/p ≈ 1.23 nm / √(E[eV]) ≈ 0.12 nm.</w:t>
      </w:r>
    </w:p>
    <w:p w14:paraId="4A9730CB" w14:textId="77777777" w:rsidR="00D93394" w:rsidRDefault="00000000">
      <w:r>
        <w:t>Coil and cavity features near this scale can enhance or suppress transport via interference, informing surface finishes and lattice choices.</w:t>
      </w:r>
    </w:p>
    <w:p w14:paraId="2537AD45" w14:textId="77777777" w:rsidR="00D93394" w:rsidRDefault="00000000">
      <w:pPr>
        <w:pStyle w:val="Heading1"/>
      </w:pPr>
      <w:r>
        <w:t>9. Limitations, Open Problems, and Test Protocols</w:t>
      </w:r>
    </w:p>
    <w:p w14:paraId="63FEFB84" w14:textId="77777777" w:rsidR="00D93394" w:rsidRDefault="00000000">
      <w:r>
        <w:t>• Classical EM vs. GR: The above laws operate in flat spacetime approximations; extension to strong curvature requires covariant formulations (e.g., Maxwell in curved spacetime).</w:t>
      </w:r>
      <w:r>
        <w:br/>
        <w:t>• Reaction Mass &amp; Momentum: Micro‑thrust from photon/field asymmetries must be verified in drag‑free environments (torsion pendulum, cubesat).</w:t>
      </w:r>
      <w:r>
        <w:br/>
        <w:t>• Plasma Stability: Magnetized flows can exhibit instabilities (kink, sausage); active feedback using CST‑locked coils is required.</w:t>
      </w:r>
      <w:r>
        <w:br/>
        <w:t>• Quantum Decoherence: Environmental noise reduces coherence; shielding and active stabilization are necessary for reliable quantum sensors.</w:t>
      </w:r>
    </w:p>
    <w:p w14:paraId="4803F3C9" w14:textId="77777777" w:rsidR="00D93394" w:rsidRDefault="00000000">
      <w:r>
        <w:t>Recommended tests: bench‑top coil rigs for Biot–Savart validation; Gauss flux chambers for E/B topology; atom‑interferometer navigation demos; cubesat photonic micro‑thrust measurements with CST‑linked timing beacons.</w:t>
      </w:r>
    </w:p>
    <w:p w14:paraId="5AAC3105" w14:textId="77777777" w:rsidR="00D93394" w:rsidRDefault="00000000">
      <w:pPr>
        <w:pStyle w:val="Heading1"/>
      </w:pPr>
      <w:r>
        <w:t>10. References</w:t>
      </w:r>
    </w:p>
    <w:p w14:paraId="1AE18634" w14:textId="77777777" w:rsidR="00D93394" w:rsidRDefault="00000000">
      <w:r>
        <w:t>• J. D. Jackson, *Classical Electrodynamics*, 3rd ed.</w:t>
      </w:r>
    </w:p>
    <w:p w14:paraId="58E63641" w14:textId="77777777" w:rsidR="00D93394" w:rsidRDefault="00000000">
      <w:r>
        <w:t>• D. J. Griffiths, *Introduction to Electrodynamics*, 4th ed.</w:t>
      </w:r>
    </w:p>
    <w:p w14:paraId="12BC52C1" w14:textId="77777777" w:rsidR="00D93394" w:rsidRDefault="00000000">
      <w:r>
        <w:t>• W. Rindler, *Introduction to Special Relativity*, 2nd ed.</w:t>
      </w:r>
    </w:p>
    <w:p w14:paraId="5DBF623F" w14:textId="77777777" w:rsidR="00D93394" w:rsidRDefault="00000000">
      <w:r>
        <w:t>• L. D. Landau &amp; E. M. Lifshitz, *The Classical Theory of Fields*</w:t>
      </w:r>
    </w:p>
    <w:p w14:paraId="1228E434" w14:textId="77777777" w:rsidR="00D93394" w:rsidRDefault="00000000">
      <w:r>
        <w:t>• R. P. Feynman, *Lectures on Physics*, Vol. II</w:t>
      </w:r>
    </w:p>
    <w:p w14:paraId="45C76626" w14:textId="77777777" w:rsidR="00D93394" w:rsidRDefault="00000000">
      <w:r>
        <w:t>• C. Kittel et al., *Introduction to Solid State Physics* (for quantum/solid-state context)</w:t>
      </w:r>
    </w:p>
    <w:sectPr w:rsidR="00D93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10259">
    <w:abstractNumId w:val="8"/>
  </w:num>
  <w:num w:numId="2" w16cid:durableId="1308121525">
    <w:abstractNumId w:val="6"/>
  </w:num>
  <w:num w:numId="3" w16cid:durableId="757746976">
    <w:abstractNumId w:val="5"/>
  </w:num>
  <w:num w:numId="4" w16cid:durableId="1439717476">
    <w:abstractNumId w:val="4"/>
  </w:num>
  <w:num w:numId="5" w16cid:durableId="490029969">
    <w:abstractNumId w:val="7"/>
  </w:num>
  <w:num w:numId="6" w16cid:durableId="567108325">
    <w:abstractNumId w:val="3"/>
  </w:num>
  <w:num w:numId="7" w16cid:durableId="304235644">
    <w:abstractNumId w:val="2"/>
  </w:num>
  <w:num w:numId="8" w16cid:durableId="531698435">
    <w:abstractNumId w:val="1"/>
  </w:num>
  <w:num w:numId="9" w16cid:durableId="202212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4B6"/>
    <w:rsid w:val="0015074B"/>
    <w:rsid w:val="0029639D"/>
    <w:rsid w:val="00326F90"/>
    <w:rsid w:val="0041652E"/>
    <w:rsid w:val="00AA1D8D"/>
    <w:rsid w:val="00B47730"/>
    <w:rsid w:val="00CB0664"/>
    <w:rsid w:val="00D93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078DA"/>
  <w14:defaultImageDpi w14:val="300"/>
  <w15:docId w15:val="{ED5B35D8-BA36-4C02-A522-27A28B9B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2</cp:revision>
  <dcterms:created xsi:type="dcterms:W3CDTF">2013-12-23T23:15:00Z</dcterms:created>
  <dcterms:modified xsi:type="dcterms:W3CDTF">2025-10-27T17:55:00Z</dcterms:modified>
  <cp:category/>
</cp:coreProperties>
</file>