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Garamond" w:hAnsi="Garamond"/>
          <w:b/>
          <w:i w:val="0"/>
          <w:smallCaps/>
          <w:sz w:val="40"/>
        </w:rPr>
        <w:t>Differentiable Stability Gates: Physics-Informed Optimization for Warp-Field Uniformity Control</w:t>
      </w:r>
    </w:p>
    <w:p>
      <w:pPr>
        <w:jc w:val="center"/>
      </w:pPr>
      <w:r>
        <w:rPr>
          <w:rFonts w:ascii="Times New Roman" w:hAnsi="Times New Roman"/>
          <w:b w:val="0"/>
          <w:i w:val="0"/>
          <w:smallCaps w:val="0"/>
          <w:sz w:val="26"/>
        </w:rPr>
        <w:t>Gabino Casanova</w:t>
      </w:r>
    </w:p>
    <w:p>
      <w:pPr>
        <w:jc w:val="center"/>
      </w:pPr>
      <w:r>
        <w:rPr>
          <w:rFonts w:ascii="Times New Roman" w:hAnsi="Times New Roman"/>
          <w:b w:val="0"/>
          <w:i w:val="0"/>
          <w:smallCaps w:val="0"/>
          <w:sz w:val="24"/>
        </w:rPr>
        <w:t>Independent Innovator, Brownsville, Texas, USA — Interstellar Star Clock Research Project</w:t>
      </w:r>
    </w:p>
    <w:p>
      <w:pPr>
        <w:jc w:val="center"/>
      </w:pPr>
      <w:r>
        <w:rPr>
          <w:rFonts w:ascii="Courier New" w:hAnsi="Courier New"/>
          <w:b w:val="0"/>
          <w:i w:val="0"/>
          <w:smallCaps w:val="0"/>
          <w:sz w:val="20"/>
        </w:rPr>
        <w:t>Email: gabinoc67@gmail.com</w:t>
      </w:r>
    </w:p>
    <w:p>
      <w:pPr>
        <w:jc w:val="left"/>
      </w:pPr>
      <w:r>
        <w:rPr>
          <w:rFonts w:ascii="Times New Roman" w:hAnsi="Times New Roman"/>
          <w:b/>
          <w:i/>
          <w:smallCaps/>
          <w:sz w:val="26"/>
        </w:rPr>
        <w:t>Abstract</w:t>
      </w:r>
    </w:p>
    <w:p>
      <w:pPr>
        <w:jc w:val="both"/>
      </w:pPr>
      <w:r>
        <w:rPr>
          <w:rFonts w:ascii="Times New Roman" w:hAnsi="Times New Roman"/>
          <w:b w:val="0"/>
          <w:i/>
          <w:smallCaps w:val="0"/>
          <w:sz w:val="20"/>
        </w:rPr>
        <w:t>This work integrates differentiable physics into the Einstein Master Equation (EME) loop, enabling gradient-based optimization of warp-field stability gates.</w:t>
      </w:r>
    </w:p>
    <w:p>
      <w:pPr>
        <w:jc w:val="left"/>
      </w:pPr>
      <w:r>
        <w:rPr>
          <w:rFonts w:ascii="Times New Roman" w:hAnsi="Times New Roman"/>
          <w:b/>
          <w:i/>
          <w:smallCaps/>
          <w:sz w:val="26"/>
        </w:rPr>
        <w:t>Keywords</w:t>
      </w:r>
    </w:p>
    <w:p>
      <w:pPr>
        <w:jc w:val="left"/>
      </w:pPr>
      <w:r>
        <w:rPr>
          <w:rFonts w:ascii="Times New Roman" w:hAnsi="Times New Roman"/>
          <w:b w:val="0"/>
          <w:i/>
          <w:smallCaps w:val="0"/>
          <w:sz w:val="20"/>
        </w:rPr>
        <w:t>Optimization, differentiable programming, physics-informed neural networks, warp field control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1. Introduction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The Einstein Master Equation unites curvature and energy-momentum flow. Its stability gates can be optimized using differentiable programming.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2. Related Work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PINNs demonstrate efficacy in embedding PDEs into neural nets. Here we embed CST residuals as loss functions.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3. Methodology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We define residual loss terms for curvature, flux balance, and EM uniformity. Backpropagation tunes control variables in continuous space.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4. Results and Discussion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Differentiable gates achieve faster convergence with smoother residual trajectories than gradient-free optimizers.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5. Conclusion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Embedding physical laws as differentiable terms yields efficient warp-field control compatible with ML optimizers.</w:t>
      </w:r>
    </w:p>
    <w:p>
      <w:r>
        <w:t>Table 1. CST Warp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Baseline</w:t>
            </w:r>
          </w:p>
        </w:tc>
        <w:tc>
          <w:tcPr>
            <w:tcW w:type="dxa" w:w="2160"/>
          </w:tcPr>
          <w:p>
            <w:r>
              <w:t>CST Model</w:t>
            </w:r>
          </w:p>
        </w:tc>
        <w:tc>
          <w:tcPr>
            <w:tcW w:type="dxa" w:w="2160"/>
          </w:tcPr>
          <w:p>
            <w:r>
              <w:t>Improvement</w:t>
            </w:r>
          </w:p>
        </w:tc>
      </w:tr>
      <w:tr>
        <w:tc>
          <w:tcPr>
            <w:tcW w:type="dxa" w:w="2160"/>
          </w:tcPr>
          <w:p>
            <w:r>
              <w:t>Prediction Accuracy</w:t>
            </w:r>
          </w:p>
        </w:tc>
        <w:tc>
          <w:tcPr>
            <w:tcW w:type="dxa" w:w="2160"/>
          </w:tcPr>
          <w:p>
            <w:r>
              <w:t>82%</w:t>
            </w:r>
          </w:p>
        </w:tc>
        <w:tc>
          <w:tcPr>
            <w:tcW w:type="dxa" w:w="2160"/>
          </w:tcPr>
          <w:p>
            <w:r>
              <w:t>92%</w:t>
            </w:r>
          </w:p>
        </w:tc>
        <w:tc>
          <w:tcPr>
            <w:tcW w:type="dxa" w:w="2160"/>
          </w:tcPr>
          <w:p>
            <w:r>
              <w:t>+10%</w:t>
            </w:r>
          </w:p>
        </w:tc>
      </w:tr>
      <w:tr>
        <w:tc>
          <w:tcPr>
            <w:tcW w:type="dxa" w:w="2160"/>
          </w:tcPr>
          <w:p>
            <w:r>
              <w:t>Safety Violation Rate</w:t>
            </w:r>
          </w:p>
        </w:tc>
        <w:tc>
          <w:tcPr>
            <w:tcW w:type="dxa" w:w="2160"/>
          </w:tcPr>
          <w:p>
            <w:r>
              <w:t>18%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-13%</w:t>
            </w:r>
          </w:p>
        </w:tc>
      </w:tr>
      <w:tr>
        <w:tc>
          <w:tcPr>
            <w:tcW w:type="dxa" w:w="2160"/>
          </w:tcPr>
          <w:p>
            <w:r>
              <w:t>Training Time (epochs)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-40%</w:t>
            </w:r>
          </w:p>
        </w:tc>
      </w:tr>
    </w:tbl>
    <w:p>
      <w:pPr>
        <w:jc w:val="center"/>
      </w:pPr>
      <w:r>
        <w:t>Figure 1. CST Warp Prediction Graph (placeholder)</w:t>
      </w:r>
    </w:p>
    <w:p>
      <w:pPr>
        <w:jc w:val="center"/>
      </w:pPr>
      <w:r>
        <w:t>Figure 2. Stability Map (placeholder)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References</w:t>
      </w:r>
    </w:p>
    <w:p>
      <w:r>
        <w:t>[1] Casanova, G. (2025). CST Warp Geometry and Cosmic Standard Time Synchronization. Interstellar Star Clock Publications.</w:t>
      </w:r>
    </w:p>
    <w:p>
      <w:r>
        <w:t>[2] Sutton, R.S., Barto, A.G. (2018). Reinforcement Learning: An Introduction. MIT Press.</w:t>
      </w:r>
    </w:p>
    <w:p>
      <w:r>
        <w:t>[3] Raissi, M., Perdikaris, P., Karniadakis, G.E. (2019). Physics-informed neural networks. J. Computational Physics.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