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1DDD" w14:textId="77777777" w:rsidR="000648DB" w:rsidRPr="000648DB" w:rsidRDefault="000648DB" w:rsidP="00064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48DB">
        <w:rPr>
          <w:rFonts w:ascii="Times New Roman" w:eastAsia="Times New Roman" w:hAnsi="Times New Roman" w:cs="Times New Roman"/>
          <w:b/>
          <w:bCs/>
          <w:kern w:val="36"/>
          <w:sz w:val="48"/>
          <w:szCs w:val="48"/>
        </w:rPr>
        <w:t xml:space="preserve">Unified Coherent Field Dynamics: A Time-Synchronized Framework for Structure Formation via </w:t>
      </w:r>
      <w:proofErr w:type="spellStart"/>
      <w:r w:rsidRPr="000648DB">
        <w:rPr>
          <w:rFonts w:ascii="Times New Roman" w:eastAsia="Times New Roman" w:hAnsi="Times New Roman" w:cs="Times New Roman"/>
          <w:b/>
          <w:bCs/>
          <w:kern w:val="36"/>
          <w:sz w:val="48"/>
          <w:szCs w:val="48"/>
        </w:rPr>
        <w:t>vRMS</w:t>
      </w:r>
      <w:proofErr w:type="spellEnd"/>
      <w:r w:rsidRPr="000648DB">
        <w:rPr>
          <w:rFonts w:ascii="Times New Roman" w:eastAsia="Times New Roman" w:hAnsi="Times New Roman" w:cs="Times New Roman"/>
          <w:b/>
          <w:bCs/>
          <w:kern w:val="36"/>
          <w:sz w:val="48"/>
          <w:szCs w:val="48"/>
        </w:rPr>
        <w:t>–VT–CIT Coupling</w:t>
      </w:r>
    </w:p>
    <w:p w14:paraId="3B607C1B"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Abstract</w:t>
      </w:r>
    </w:p>
    <w:p w14:paraId="7F85E2F5"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A unified theoretical framework is developed to describe the emergence of structured matter from dynamic field interactions using a coherence-driven model grounded in velocity distributions, interaction times, and coupling strength. The formulation integrates root-mean-square velocity (</w:t>
      </w:r>
      <w:proofErr w:type="spellStart"/>
      <w:r w:rsidRPr="000648DB">
        <w:rPr>
          <w:rFonts w:ascii="Times New Roman" w:eastAsia="Times New Roman" w:hAnsi="Times New Roman" w:cs="Times New Roman"/>
          <w:sz w:val="24"/>
          <w:szCs w:val="24"/>
        </w:rPr>
        <w:t>vRMS</w:t>
      </w:r>
      <w:proofErr w:type="spellEnd"/>
      <w:r w:rsidRPr="000648DB">
        <w:rPr>
          <w:rFonts w:ascii="Times New Roman" w:eastAsia="Times New Roman" w:hAnsi="Times New Roman" w:cs="Times New Roman"/>
          <w:sz w:val="24"/>
          <w:szCs w:val="24"/>
        </w:rPr>
        <w:t>), transport velocity (VT), coherent interaction time (CIT), and effective coupling (</w:t>
      </w:r>
      <w:proofErr w:type="spellStart"/>
      <w:r w:rsidRPr="000648DB">
        <w:rPr>
          <w:rFonts w:ascii="Times New Roman" w:eastAsia="Times New Roman" w:hAnsi="Times New Roman" w:cs="Times New Roman"/>
          <w:sz w:val="24"/>
          <w:szCs w:val="24"/>
        </w:rPr>
        <w:t>κeff</w:t>
      </w:r>
      <w:proofErr w:type="spellEnd"/>
      <w:r w:rsidRPr="000648DB">
        <w:rPr>
          <w:rFonts w:ascii="Times New Roman" w:eastAsia="Times New Roman" w:hAnsi="Times New Roman" w:cs="Times New Roman"/>
          <w:sz w:val="24"/>
          <w:szCs w:val="24"/>
        </w:rPr>
        <w:t>) into a single invariant governing system stability. A time-evolution formalism is introduced, allowing the transition from disordered field states to coherent pathways. The model is anchored to established physical principles including kinetic theory, relativistic time dilation, and stress–energy dynamics, while extending them through a synchronization-based interpretation. Testable predictions are defined to enable falsifiability using observational datasets such as geomagnetic fields, spacecraft tracking residuals, and precision timing systems.</w:t>
      </w:r>
    </w:p>
    <w:p w14:paraId="7457C3C9"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Introduction</w:t>
      </w:r>
    </w:p>
    <w:p w14:paraId="65FEFBD7"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 formation of structured matter from distributed energy fields remains a central problem across physics, from statistical mechanics to cosmology. Traditional frameworks describe local interactions but often lack a unified parameterization linking coherence, transport, and temporal synchronization. This work introduces a Coherent Interaction Theory (CIT) extended through a Curvature Synchronization Time (CST) framework, where time alignment acts as a governing constraint on structure formation.</w:t>
      </w:r>
    </w:p>
    <w:p w14:paraId="021050D5"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 approach reformulates dynamic field behavior in terms of measurable quantities and establishes a pathway from stochastic motion to stable matter-like configurations.</w:t>
      </w:r>
    </w:p>
    <w:p w14:paraId="7567E5B4"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Theoretical Framework</w:t>
      </w:r>
    </w:p>
    <w:p w14:paraId="2DE41251" w14:textId="77777777" w:rsidR="000648DB" w:rsidRPr="000648DB" w:rsidRDefault="000648DB" w:rsidP="000648DB">
      <w:pPr>
        <w:spacing w:before="100" w:beforeAutospacing="1" w:after="100" w:afterAutospacing="1" w:line="240" w:lineRule="auto"/>
        <w:outlineLvl w:val="2"/>
        <w:rPr>
          <w:rFonts w:ascii="Times New Roman" w:eastAsia="Times New Roman" w:hAnsi="Times New Roman" w:cs="Times New Roman"/>
          <w:b/>
          <w:bCs/>
          <w:sz w:val="27"/>
          <w:szCs w:val="27"/>
        </w:rPr>
      </w:pPr>
      <w:r w:rsidRPr="000648DB">
        <w:rPr>
          <w:rFonts w:ascii="Times New Roman" w:eastAsia="Times New Roman" w:hAnsi="Times New Roman" w:cs="Times New Roman"/>
          <w:b/>
          <w:bCs/>
          <w:sz w:val="27"/>
          <w:szCs w:val="27"/>
        </w:rPr>
        <w:t>Root-Mean-Square Velocity</w:t>
      </w:r>
    </w:p>
    <w:p w14:paraId="219F84DF"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 root-mean-square velocity is defined by classical kinetic theory:</w:t>
      </w:r>
    </w:p>
    <w:p w14:paraId="7FB91183"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3kT</m:t>
                  </m:r>
                </m:num>
                <m:den>
                  <m:r>
                    <w:rPr>
                      <w:rFonts w:ascii="Cambria Math" w:eastAsia="Times New Roman" w:hAnsi="Cambria Math" w:cs="Times New Roman"/>
                      <w:sz w:val="24"/>
                      <w:szCs w:val="24"/>
                    </w:rPr>
                    <m:t>m</m:t>
                  </m:r>
                </m:den>
              </m:f>
            </m:e>
          </m:rad>
          <m:r>
            <w:rPr>
              <w:rFonts w:ascii="Cambria Math" w:eastAsia="Times New Roman" w:hAnsi="Cambria Math" w:cs="Times New Roman"/>
              <w:sz w:val="24"/>
              <w:szCs w:val="24"/>
            </w:rPr>
            <w:br/>
          </m:r>
        </m:oMath>
      </m:oMathPara>
    </w:p>
    <w:p w14:paraId="79E1B8C3"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lastRenderedPageBreak/>
        <w:t xml:space="preserve">where </w:t>
      </w:r>
      <m:oMath>
        <m:r>
          <w:rPr>
            <w:rFonts w:ascii="Cambria Math" w:eastAsia="Times New Roman" w:hAnsi="Cambria Math" w:cs="Times New Roman"/>
            <w:sz w:val="24"/>
            <w:szCs w:val="24"/>
          </w:rPr>
          <m:t>k</m:t>
        </m:r>
      </m:oMath>
      <w:r w:rsidRPr="000648DB">
        <w:rPr>
          <w:rFonts w:ascii="Times New Roman" w:eastAsia="Times New Roman" w:hAnsi="Times New Roman" w:cs="Times New Roman"/>
          <w:sz w:val="24"/>
          <w:szCs w:val="24"/>
        </w:rPr>
        <w:t xml:space="preserve">is Boltzmann’s constant, </w:t>
      </w:r>
      <m:oMath>
        <m:r>
          <w:rPr>
            <w:rFonts w:ascii="Cambria Math" w:eastAsia="Times New Roman" w:hAnsi="Cambria Math" w:cs="Times New Roman"/>
            <w:sz w:val="24"/>
            <w:szCs w:val="24"/>
          </w:rPr>
          <m:t>T</m:t>
        </m:r>
      </m:oMath>
      <w:r w:rsidRPr="000648DB">
        <w:rPr>
          <w:rFonts w:ascii="Times New Roman" w:eastAsia="Times New Roman" w:hAnsi="Times New Roman" w:cs="Times New Roman"/>
          <w:sz w:val="24"/>
          <w:szCs w:val="24"/>
        </w:rPr>
        <w:t xml:space="preserve">temperature, and </w:t>
      </w:r>
      <m:oMath>
        <m:r>
          <w:rPr>
            <w:rFonts w:ascii="Cambria Math" w:eastAsia="Times New Roman" w:hAnsi="Cambria Math" w:cs="Times New Roman"/>
            <w:sz w:val="24"/>
            <w:szCs w:val="24"/>
          </w:rPr>
          <m:t>m</m:t>
        </m:r>
      </m:oMath>
      <w:r w:rsidRPr="000648DB">
        <w:rPr>
          <w:rFonts w:ascii="Times New Roman" w:eastAsia="Times New Roman" w:hAnsi="Times New Roman" w:cs="Times New Roman"/>
          <w:sz w:val="24"/>
          <w:szCs w:val="24"/>
        </w:rPr>
        <w:t>particle mass (Reif, 1965).</w:t>
      </w:r>
    </w:p>
    <w:p w14:paraId="6379F983" w14:textId="77777777" w:rsidR="000648DB" w:rsidRPr="000648DB" w:rsidRDefault="000648DB" w:rsidP="000648DB">
      <w:pPr>
        <w:spacing w:before="100" w:beforeAutospacing="1" w:after="100" w:afterAutospacing="1" w:line="240" w:lineRule="auto"/>
        <w:outlineLvl w:val="2"/>
        <w:rPr>
          <w:rFonts w:ascii="Times New Roman" w:eastAsia="Times New Roman" w:hAnsi="Times New Roman" w:cs="Times New Roman"/>
          <w:b/>
          <w:bCs/>
          <w:sz w:val="27"/>
          <w:szCs w:val="27"/>
        </w:rPr>
      </w:pPr>
      <w:r w:rsidRPr="000648DB">
        <w:rPr>
          <w:rFonts w:ascii="Times New Roman" w:eastAsia="Times New Roman" w:hAnsi="Times New Roman" w:cs="Times New Roman"/>
          <w:b/>
          <w:bCs/>
          <w:sz w:val="27"/>
          <w:szCs w:val="27"/>
        </w:rPr>
        <w:t>Relativistic Time Constraint</w:t>
      </w:r>
    </w:p>
    <w:p w14:paraId="59660D5A"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Proper time evolution follows:</w:t>
      </w:r>
    </w:p>
    <w:p w14:paraId="3B1B0BB7"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dτ=dt</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2</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e>
          </m:rad>
          <m:r>
            <w:rPr>
              <w:rFonts w:ascii="Cambria Math" w:eastAsia="Times New Roman" w:hAnsi="Cambria Math" w:cs="Times New Roman"/>
              <w:sz w:val="24"/>
              <w:szCs w:val="24"/>
            </w:rPr>
            <w:br/>
          </m:r>
        </m:oMath>
      </m:oMathPara>
    </w:p>
    <w:p w14:paraId="179D330A"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as established in special relativity (Einstein, 1905).</w:t>
      </w:r>
    </w:p>
    <w:p w14:paraId="04BBCC05" w14:textId="77777777" w:rsidR="000648DB" w:rsidRPr="000648DB" w:rsidRDefault="000648DB" w:rsidP="000648DB">
      <w:pPr>
        <w:spacing w:before="100" w:beforeAutospacing="1" w:after="100" w:afterAutospacing="1" w:line="240" w:lineRule="auto"/>
        <w:outlineLvl w:val="2"/>
        <w:rPr>
          <w:rFonts w:ascii="Times New Roman" w:eastAsia="Times New Roman" w:hAnsi="Times New Roman" w:cs="Times New Roman"/>
          <w:b/>
          <w:bCs/>
          <w:sz w:val="27"/>
          <w:szCs w:val="27"/>
        </w:rPr>
      </w:pPr>
      <w:r w:rsidRPr="000648DB">
        <w:rPr>
          <w:rFonts w:ascii="Times New Roman" w:eastAsia="Times New Roman" w:hAnsi="Times New Roman" w:cs="Times New Roman"/>
          <w:b/>
          <w:bCs/>
          <w:sz w:val="27"/>
          <w:szCs w:val="27"/>
        </w:rPr>
        <w:t>Stress–Energy Representation</w:t>
      </w:r>
    </w:p>
    <w:p w14:paraId="338E96F0"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Energy and momentum distribution are governed by:</w:t>
      </w:r>
    </w:p>
    <w:p w14:paraId="004134BB"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60909E9B"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linking curvature to energy density (Misner, Thorne &amp; Wheeler, 1973).</w:t>
      </w:r>
    </w:p>
    <w:p w14:paraId="4E5455F4"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Unified Coherence Invariant (Mathematical Closure)</w:t>
      </w:r>
    </w:p>
    <w:p w14:paraId="14724111"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A single governing invariant is defined:</w:t>
      </w:r>
    </w:p>
    <w:p w14:paraId="7E36F154"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r>
            <m:rPr>
              <m:scr m:val="script"/>
            </m:rPr>
            <w:rPr>
              <w:rFonts w:ascii="Cambria Math" w:eastAsia="Times New Roman" w:hAnsi="Cambria Math" w:cs="Times New Roman"/>
              <w:sz w:val="24"/>
              <w:szCs w:val="24"/>
            </w:rPr>
            <m:t>I=</m:t>
          </m:r>
          <m:r>
            <w:rPr>
              <w:rFonts w:ascii="Cambria Math" w:eastAsia="Times New Roman" w:hAnsi="Cambria Math" w:cs="Times New Roman"/>
              <w:sz w:val="24"/>
              <w:szCs w:val="24"/>
            </w:rPr>
            <m:t>H⋅</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κ</m:t>
              </m:r>
            </m:e>
            <m:sub>
              <m:r>
                <m:rPr>
                  <m:nor/>
                </m:rPr>
                <w:rPr>
                  <w:rFonts w:ascii="Times New Roman" w:eastAsia="Times New Roman" w:hAnsi="Times New Roman" w:cs="Times New Roman"/>
                  <w:sz w:val="24"/>
                  <w:szCs w:val="24"/>
                </w:rPr>
                <m:t>eff</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VT</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den>
          </m:f>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exp</m:t>
          </m:r>
          <m:r>
            <w:rPr>
              <w:rFonts w:ascii="Cambria Math" w:eastAsia="Times New Roman" w:hAnsi="Cambria Math" w:cs="Times New Roman"/>
              <w:sz w:val="24"/>
              <w:szCs w:val="24"/>
            </w:rPr>
            <m:t>⁡</m:t>
          </m:r>
          <m:d>
            <m:dPr>
              <m:sepChr m:val="−"/>
              <m:ctrlPr>
                <w:rPr>
                  <w:rFonts w:ascii="Cambria Math" w:eastAsia="Times New Roman" w:hAnsi="Cambria Math" w:cs="Times New Roman"/>
                  <w:sz w:val="24"/>
                  <w:szCs w:val="24"/>
                </w:rPr>
              </m:ctrlPr>
            </m:dPr>
            <m:e/>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VT-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r>
                    <m:rPr>
                      <m:sty m:val="p"/>
                    </m:rPr>
                    <w:rPr>
                      <w:rFonts w:ascii="Cambria Math" w:eastAsia="Times New Roman" w:hAnsi="Cambria Math" w:cs="Times New Roman"/>
                      <w:sz w:val="24"/>
                      <w:szCs w:val="24"/>
                    </w:rPr>
                    <m:t>∣</m:t>
                  </m:r>
                </m:num>
                <m:den>
                  <m:r>
                    <w:rPr>
                      <w:rFonts w:ascii="Cambria Math" w:eastAsia="Times New Roman" w:hAnsi="Cambria Math" w:cs="Times New Roman"/>
                      <w:sz w:val="24"/>
                      <w:szCs w:val="24"/>
                    </w:rPr>
                    <m:t>Tol</m:t>
                  </m:r>
                </m:den>
              </m:f>
            </m:e>
          </m:d>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exp</m:t>
          </m:r>
          <m:r>
            <w:rPr>
              <w:rFonts w:ascii="Cambria Math" w:eastAsia="Times New Roman" w:hAnsi="Cambria Math" w:cs="Times New Roman"/>
              <w:sz w:val="24"/>
              <w:szCs w:val="24"/>
            </w:rPr>
            <m:t>⁡</m:t>
          </m:r>
          <m:d>
            <m:dPr>
              <m:sepChr m:val="−"/>
              <m:ctrlPr>
                <w:rPr>
                  <w:rFonts w:ascii="Cambria Math" w:eastAsia="Times New Roman" w:hAnsi="Cambria Math" w:cs="Times New Roman"/>
                  <w:sz w:val="24"/>
                  <w:szCs w:val="24"/>
                </w:rPr>
              </m:ctrlPr>
            </m:dPr>
            <m:e/>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m:t>
                  </m:r>
                </m:num>
                <m:den>
                  <m:r>
                    <w:rPr>
                      <w:rFonts w:ascii="Cambria Math" w:eastAsia="Times New Roman" w:hAnsi="Cambria Math" w:cs="Times New Roman"/>
                      <w:sz w:val="24"/>
                      <w:szCs w:val="24"/>
                    </w:rPr>
                    <m:t>CIT</m:t>
                  </m:r>
                </m:den>
              </m:f>
            </m:e>
          </m:d>
          <m:r>
            <w:rPr>
              <w:rFonts w:ascii="Cambria Math" w:eastAsia="Times New Roman" w:hAnsi="Cambria Math" w:cs="Times New Roman"/>
              <w:sz w:val="24"/>
              <w:szCs w:val="24"/>
            </w:rPr>
            <w:br/>
          </m:r>
        </m:oMath>
      </m:oMathPara>
    </w:p>
    <w:p w14:paraId="1CD520A6"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where:</w:t>
      </w:r>
    </w:p>
    <w:p w14:paraId="375240F8" w14:textId="77777777" w:rsidR="000648DB" w:rsidRPr="000648DB" w:rsidRDefault="000648DB" w:rsidP="000648DB">
      <w:pPr>
        <w:numPr>
          <w:ilvl w:val="0"/>
          <w:numId w:val="47"/>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H</m:t>
        </m:r>
      </m:oMath>
      <w:r w:rsidRPr="000648DB">
        <w:rPr>
          <w:rFonts w:ascii="Times New Roman" w:eastAsia="Times New Roman" w:hAnsi="Times New Roman" w:cs="Times New Roman"/>
          <w:sz w:val="24"/>
          <w:szCs w:val="24"/>
        </w:rPr>
        <w:t xml:space="preserve">= coherence (dimensionless) </w:t>
      </w:r>
    </w:p>
    <w:p w14:paraId="69933A91" w14:textId="77777777" w:rsidR="000648DB" w:rsidRPr="000648DB" w:rsidRDefault="000648DB" w:rsidP="000648DB">
      <w:pPr>
        <w:numPr>
          <w:ilvl w:val="0"/>
          <w:numId w:val="47"/>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κ</m:t>
            </m:r>
          </m:e>
          <m:sub>
            <m:r>
              <m:rPr>
                <m:nor/>
              </m:rPr>
              <w:rPr>
                <w:rFonts w:ascii="Times New Roman" w:eastAsia="Times New Roman" w:hAnsi="Times New Roman" w:cs="Times New Roman"/>
                <w:sz w:val="24"/>
                <w:szCs w:val="24"/>
              </w:rPr>
              <m:t>eff</m:t>
            </m:r>
          </m:sub>
        </m:sSub>
      </m:oMath>
      <w:r w:rsidRPr="000648DB">
        <w:rPr>
          <w:rFonts w:ascii="Times New Roman" w:eastAsia="Times New Roman" w:hAnsi="Times New Roman" w:cs="Times New Roman"/>
          <w:sz w:val="24"/>
          <w:szCs w:val="24"/>
        </w:rPr>
        <w:t xml:space="preserve">= coupling strength </w:t>
      </w:r>
    </w:p>
    <w:p w14:paraId="503AA9A9" w14:textId="77777777" w:rsidR="000648DB" w:rsidRPr="000648DB" w:rsidRDefault="000648DB" w:rsidP="000648DB">
      <w:pPr>
        <w:numPr>
          <w:ilvl w:val="0"/>
          <w:numId w:val="47"/>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VT</m:t>
        </m:r>
      </m:oMath>
      <w:r w:rsidRPr="000648DB">
        <w:rPr>
          <w:rFonts w:ascii="Times New Roman" w:eastAsia="Times New Roman" w:hAnsi="Times New Roman" w:cs="Times New Roman"/>
          <w:sz w:val="24"/>
          <w:szCs w:val="24"/>
        </w:rPr>
        <w:t xml:space="preserve">= transport </w:t>
      </w:r>
      <w:proofErr w:type="gramStart"/>
      <w:r w:rsidRPr="000648DB">
        <w:rPr>
          <w:rFonts w:ascii="Times New Roman" w:eastAsia="Times New Roman" w:hAnsi="Times New Roman" w:cs="Times New Roman"/>
          <w:sz w:val="24"/>
          <w:szCs w:val="24"/>
        </w:rPr>
        <w:t>velocity</w:t>
      </w:r>
      <w:proofErr w:type="gramEnd"/>
      <w:r w:rsidRPr="000648DB">
        <w:rPr>
          <w:rFonts w:ascii="Times New Roman" w:eastAsia="Times New Roman" w:hAnsi="Times New Roman" w:cs="Times New Roman"/>
          <w:sz w:val="24"/>
          <w:szCs w:val="24"/>
        </w:rPr>
        <w:t xml:space="preserve"> (m/s) </w:t>
      </w:r>
    </w:p>
    <w:p w14:paraId="758BA231" w14:textId="77777777" w:rsidR="000648DB" w:rsidRPr="000648DB" w:rsidRDefault="000648DB" w:rsidP="000648DB">
      <w:pPr>
        <w:numPr>
          <w:ilvl w:val="0"/>
          <w:numId w:val="47"/>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oMath>
      <w:r w:rsidRPr="000648DB">
        <w:rPr>
          <w:rFonts w:ascii="Times New Roman" w:eastAsia="Times New Roman" w:hAnsi="Times New Roman" w:cs="Times New Roman"/>
          <w:sz w:val="24"/>
          <w:szCs w:val="24"/>
        </w:rPr>
        <w:t xml:space="preserve">= RMS velocity (m/s) </w:t>
      </w:r>
    </w:p>
    <w:p w14:paraId="08DA1DED" w14:textId="77777777" w:rsidR="000648DB" w:rsidRPr="000648DB" w:rsidRDefault="000648DB" w:rsidP="000648DB">
      <w:pPr>
        <w:numPr>
          <w:ilvl w:val="0"/>
          <w:numId w:val="47"/>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Tol</m:t>
        </m:r>
      </m:oMath>
      <w:r w:rsidRPr="000648DB">
        <w:rPr>
          <w:rFonts w:ascii="Times New Roman" w:eastAsia="Times New Roman" w:hAnsi="Times New Roman" w:cs="Times New Roman"/>
          <w:sz w:val="24"/>
          <w:szCs w:val="24"/>
        </w:rPr>
        <w:t xml:space="preserve">= tolerance parameter </w:t>
      </w:r>
    </w:p>
    <w:p w14:paraId="32BAC4C5" w14:textId="77777777" w:rsidR="000648DB" w:rsidRPr="000648DB" w:rsidRDefault="000648DB" w:rsidP="000648DB">
      <w:pPr>
        <w:numPr>
          <w:ilvl w:val="0"/>
          <w:numId w:val="47"/>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CIT</m:t>
        </m:r>
      </m:oMath>
      <w:r w:rsidRPr="000648DB">
        <w:rPr>
          <w:rFonts w:ascii="Times New Roman" w:eastAsia="Times New Roman" w:hAnsi="Times New Roman" w:cs="Times New Roman"/>
          <w:sz w:val="24"/>
          <w:szCs w:val="24"/>
        </w:rPr>
        <w:t xml:space="preserve">= coherent interaction time (s) </w:t>
      </w:r>
    </w:p>
    <w:p w14:paraId="421B91D5" w14:textId="77777777" w:rsidR="000648DB" w:rsidRPr="000648DB" w:rsidRDefault="000648DB" w:rsidP="000648DB">
      <w:pPr>
        <w:numPr>
          <w:ilvl w:val="0"/>
          <w:numId w:val="47"/>
        </w:numPr>
        <w:spacing w:before="100" w:beforeAutospacing="1" w:after="100" w:afterAutospacing="1" w:line="240" w:lineRule="auto"/>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oMath>
      <w:r w:rsidRPr="000648DB">
        <w:rPr>
          <w:rFonts w:ascii="Times New Roman" w:eastAsia="Times New Roman" w:hAnsi="Times New Roman" w:cs="Times New Roman"/>
          <w:sz w:val="24"/>
          <w:szCs w:val="24"/>
        </w:rPr>
        <w:t xml:space="preserve">= CST synchronization offset </w:t>
      </w:r>
    </w:p>
    <w:p w14:paraId="36B6712B"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This invariant defines system stability:</w:t>
      </w:r>
    </w:p>
    <w:p w14:paraId="102061D4" w14:textId="77777777" w:rsidR="000648DB" w:rsidRPr="000648DB" w:rsidRDefault="000648DB" w:rsidP="000648DB">
      <w:pPr>
        <w:numPr>
          <w:ilvl w:val="0"/>
          <w:numId w:val="48"/>
        </w:numPr>
        <w:spacing w:before="100" w:beforeAutospacing="1" w:after="100" w:afterAutospacing="1" w:line="240" w:lineRule="auto"/>
        <w:rPr>
          <w:rFonts w:ascii="Times New Roman" w:eastAsia="Times New Roman" w:hAnsi="Times New Roman" w:cs="Times New Roman"/>
          <w:sz w:val="24"/>
          <w:szCs w:val="24"/>
        </w:rPr>
      </w:pPr>
      <m:oMath>
        <m:r>
          <m:rPr>
            <m:scr m:val="script"/>
          </m:rPr>
          <w:rPr>
            <w:rFonts w:ascii="Cambria Math" w:eastAsia="Times New Roman" w:hAnsi="Cambria Math" w:cs="Times New Roman"/>
            <w:sz w:val="24"/>
            <w:szCs w:val="24"/>
          </w:rPr>
          <m:t>I→</m:t>
        </m:r>
        <m:r>
          <w:rPr>
            <w:rFonts w:ascii="Cambria Math" w:eastAsia="Times New Roman" w:hAnsi="Cambria Math" w:cs="Times New Roman"/>
            <w:sz w:val="24"/>
            <w:szCs w:val="24"/>
          </w:rPr>
          <m:t>1</m:t>
        </m:r>
      </m:oMath>
      <w:r w:rsidRPr="000648DB">
        <w:rPr>
          <w:rFonts w:ascii="Times New Roman" w:eastAsia="Times New Roman" w:hAnsi="Times New Roman" w:cs="Times New Roman"/>
          <w:sz w:val="24"/>
          <w:szCs w:val="24"/>
        </w:rPr>
        <w:t xml:space="preserve">: stable structure formation </w:t>
      </w:r>
    </w:p>
    <w:p w14:paraId="4555C860" w14:textId="77777777" w:rsidR="000648DB" w:rsidRPr="000648DB" w:rsidRDefault="000648DB" w:rsidP="000648DB">
      <w:pPr>
        <w:numPr>
          <w:ilvl w:val="0"/>
          <w:numId w:val="48"/>
        </w:numPr>
        <w:spacing w:before="100" w:beforeAutospacing="1" w:after="100" w:afterAutospacing="1" w:line="240" w:lineRule="auto"/>
        <w:rPr>
          <w:rFonts w:ascii="Times New Roman" w:eastAsia="Times New Roman" w:hAnsi="Times New Roman" w:cs="Times New Roman"/>
          <w:sz w:val="24"/>
          <w:szCs w:val="24"/>
        </w:rPr>
      </w:pPr>
      <m:oMath>
        <m:r>
          <m:rPr>
            <m:scr m:val="script"/>
          </m:rPr>
          <w:rPr>
            <w:rFonts w:ascii="Cambria Math" w:eastAsia="Times New Roman" w:hAnsi="Cambria Math" w:cs="Times New Roman"/>
            <w:sz w:val="24"/>
            <w:szCs w:val="24"/>
          </w:rPr>
          <m:t>I→</m:t>
        </m:r>
        <m:r>
          <w:rPr>
            <w:rFonts w:ascii="Cambria Math" w:eastAsia="Times New Roman" w:hAnsi="Cambria Math" w:cs="Times New Roman"/>
            <w:sz w:val="24"/>
            <w:szCs w:val="24"/>
          </w:rPr>
          <m:t>0</m:t>
        </m:r>
      </m:oMath>
      <w:r w:rsidRPr="000648DB">
        <w:rPr>
          <w:rFonts w:ascii="Times New Roman" w:eastAsia="Times New Roman" w:hAnsi="Times New Roman" w:cs="Times New Roman"/>
          <w:sz w:val="24"/>
          <w:szCs w:val="24"/>
        </w:rPr>
        <w:t xml:space="preserve">: incoherent dispersion </w:t>
      </w:r>
    </w:p>
    <w:p w14:paraId="79704F3F"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lastRenderedPageBreak/>
        <w:t>Time Evolution Dynamics</w:t>
      </w:r>
    </w:p>
    <w:p w14:paraId="649D2A28"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 system evolves through coupled differential equations:</w:t>
      </w:r>
    </w:p>
    <w:p w14:paraId="7C672D8C"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in</m:t>
              </m:r>
            </m:sub>
          </m:sSub>
          <m:r>
            <w:rPr>
              <w:rFonts w:ascii="Cambria Math" w:eastAsia="Times New Roman" w:hAnsi="Cambria Math" w:cs="Times New Roman"/>
              <w:sz w:val="24"/>
              <w:szCs w:val="24"/>
            </w:rPr>
            <m:t>-γ</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r>
            <w:rPr>
              <w:rFonts w:ascii="Cambria Math" w:eastAsia="Times New Roman" w:hAnsi="Cambria Math" w:cs="Times New Roman"/>
              <w:sz w:val="24"/>
              <w:szCs w:val="24"/>
            </w:rPr>
            <w:br/>
          </m:r>
        </m:oMath>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dH</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=α</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κ</m:t>
              </m:r>
            </m:e>
            <m:sub>
              <m:r>
                <m:rPr>
                  <m:nor/>
                </m:rPr>
                <w:rPr>
                  <w:rFonts w:ascii="Times New Roman" w:eastAsia="Times New Roman" w:hAnsi="Times New Roman" w:cs="Times New Roman"/>
                  <w:sz w:val="24"/>
                  <w:szCs w:val="24"/>
                </w:rPr>
                <m:t>eff</m:t>
              </m:r>
            </m:sub>
          </m:sSub>
          <m:r>
            <w:rPr>
              <w:rFonts w:ascii="Cambria Math" w:eastAsia="Times New Roman" w:hAnsi="Cambria Math" w:cs="Times New Roman"/>
              <w:sz w:val="24"/>
              <w:szCs w:val="24"/>
            </w:rPr>
            <m:t>-β∣</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VT-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num>
            <m:den>
              <m:r>
                <w:rPr>
                  <w:rFonts w:ascii="Cambria Math" w:eastAsia="Times New Roman" w:hAnsi="Cambria Math" w:cs="Times New Roman"/>
                  <w:sz w:val="24"/>
                  <w:szCs w:val="24"/>
                </w:rPr>
                <m:t>VT</m:t>
              </m:r>
            </m:den>
          </m:f>
          <m:r>
            <w:rPr>
              <w:rFonts w:ascii="Cambria Math" w:eastAsia="Times New Roman" w:hAnsi="Cambria Math" w:cs="Times New Roman"/>
              <w:sz w:val="24"/>
              <w:szCs w:val="24"/>
            </w:rPr>
            <m:t>∣-δ</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m:t>
              </m:r>
            </m:num>
            <m:den>
              <m:r>
                <w:rPr>
                  <w:rFonts w:ascii="Cambria Math" w:eastAsia="Times New Roman" w:hAnsi="Cambria Math" w:cs="Times New Roman"/>
                  <w:sz w:val="24"/>
                  <w:szCs w:val="24"/>
                </w:rPr>
                <m:t>CIT</m:t>
              </m:r>
            </m:den>
          </m:f>
          <m:r>
            <w:rPr>
              <w:rFonts w:ascii="Cambria Math" w:eastAsia="Times New Roman" w:hAnsi="Cambria Math" w:cs="Times New Roman"/>
              <w:sz w:val="24"/>
              <w:szCs w:val="24"/>
            </w:rPr>
            <w:br/>
          </m:r>
        </m:oMath>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κ</m:t>
                  </m:r>
                </m:e>
                <m:sub>
                  <m:r>
                    <m:rPr>
                      <m:nor/>
                    </m:rPr>
                    <w:rPr>
                      <w:rFonts w:ascii="Times New Roman" w:eastAsia="Times New Roman" w:hAnsi="Times New Roman" w:cs="Times New Roman"/>
                      <w:sz w:val="24"/>
                      <w:szCs w:val="24"/>
                    </w:rPr>
                    <m:t>eff</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∇Φ</m:t>
          </m:r>
          <m:r>
            <w:rPr>
              <w:rFonts w:ascii="Cambria Math" w:eastAsia="Times New Roman" w:hAnsi="Cambria Math" w:cs="Times New Roman"/>
              <w:sz w:val="24"/>
              <w:szCs w:val="24"/>
            </w:rPr>
            <w:br/>
          </m:r>
        </m:oMath>
      </m:oMathPara>
    </w:p>
    <w:p w14:paraId="1D4B5F14"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where:</w:t>
      </w:r>
    </w:p>
    <w:p w14:paraId="6F8B489F" w14:textId="77777777" w:rsidR="000648DB" w:rsidRPr="000648DB" w:rsidRDefault="000648DB" w:rsidP="000648DB">
      <w:pPr>
        <w:numPr>
          <w:ilvl w:val="0"/>
          <w:numId w:val="49"/>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in</m:t>
            </m:r>
          </m:sub>
        </m:sSub>
      </m:oMath>
      <w:r w:rsidRPr="000648DB">
        <w:rPr>
          <w:rFonts w:ascii="Times New Roman" w:eastAsia="Times New Roman" w:hAnsi="Times New Roman" w:cs="Times New Roman"/>
          <w:sz w:val="24"/>
          <w:szCs w:val="24"/>
        </w:rPr>
        <w:t xml:space="preserve">= energy input </w:t>
      </w:r>
    </w:p>
    <w:p w14:paraId="4D6DEB1B" w14:textId="77777777" w:rsidR="000648DB" w:rsidRPr="000648DB" w:rsidRDefault="000648DB" w:rsidP="000648DB">
      <w:pPr>
        <w:numPr>
          <w:ilvl w:val="0"/>
          <w:numId w:val="49"/>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γ</m:t>
        </m:r>
      </m:oMath>
      <w:r w:rsidRPr="000648DB">
        <w:rPr>
          <w:rFonts w:ascii="Times New Roman" w:eastAsia="Times New Roman" w:hAnsi="Times New Roman" w:cs="Times New Roman"/>
          <w:sz w:val="24"/>
          <w:szCs w:val="24"/>
        </w:rPr>
        <w:t xml:space="preserve">= dissipation coefficient </w:t>
      </w:r>
    </w:p>
    <w:p w14:paraId="0CE141A7" w14:textId="77777777" w:rsidR="000648DB" w:rsidRPr="000648DB" w:rsidRDefault="000648DB" w:rsidP="000648DB">
      <w:pPr>
        <w:numPr>
          <w:ilvl w:val="0"/>
          <w:numId w:val="49"/>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α,β,δ</m:t>
        </m:r>
      </m:oMath>
      <w:r w:rsidRPr="000648DB">
        <w:rPr>
          <w:rFonts w:ascii="Times New Roman" w:eastAsia="Times New Roman" w:hAnsi="Times New Roman" w:cs="Times New Roman"/>
          <w:sz w:val="24"/>
          <w:szCs w:val="24"/>
        </w:rPr>
        <w:t xml:space="preserve">= coupling constants </w:t>
      </w:r>
    </w:p>
    <w:p w14:paraId="38A06B26" w14:textId="77777777" w:rsidR="000648DB" w:rsidRPr="000648DB" w:rsidRDefault="000648DB" w:rsidP="000648DB">
      <w:pPr>
        <w:numPr>
          <w:ilvl w:val="0"/>
          <w:numId w:val="49"/>
        </w:numPr>
        <w:spacing w:before="100" w:beforeAutospacing="1" w:after="100" w:afterAutospacing="1" w:line="240" w:lineRule="auto"/>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rPr>
          <m:t>∇Φ</m:t>
        </m:r>
      </m:oMath>
      <w:r w:rsidRPr="000648DB">
        <w:rPr>
          <w:rFonts w:ascii="Times New Roman" w:eastAsia="Times New Roman" w:hAnsi="Times New Roman" w:cs="Times New Roman"/>
          <w:sz w:val="24"/>
          <w:szCs w:val="24"/>
        </w:rPr>
        <w:t xml:space="preserve">= potential gradient </w:t>
      </w:r>
    </w:p>
    <w:p w14:paraId="7D3B7594"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These equations describe transition from stochastic states to ordered pathways.</w:t>
      </w:r>
    </w:p>
    <w:p w14:paraId="357A7D76"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Multi-Interaction Field Extension</w:t>
      </w:r>
    </w:p>
    <w:p w14:paraId="372BF681"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For interacting packets:</w:t>
      </w:r>
    </w:p>
    <w:p w14:paraId="2C9C7627"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total</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j</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ij</m:t>
                  </m:r>
                </m:sub>
              </m:sSub>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w:br/>
          </m:r>
        </m:oMath>
      </m:oMathPara>
    </w:p>
    <w:p w14:paraId="096D6DFE"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This introduces interference, reinforcement, and emergent structure formation.</w:t>
      </w:r>
    </w:p>
    <w:p w14:paraId="0ACA4E16"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CST Synchronization Principle</w:t>
      </w:r>
    </w:p>
    <w:p w14:paraId="0E225F96"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Time coherence is defined as:</w:t>
      </w:r>
    </w:p>
    <w:p w14:paraId="57B9BCCE"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system</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reference</m:t>
              </m:r>
            </m:sub>
          </m:sSub>
          <m:r>
            <w:rPr>
              <w:rFonts w:ascii="Cambria Math" w:eastAsia="Times New Roman" w:hAnsi="Cambria Math" w:cs="Times New Roman"/>
              <w:sz w:val="24"/>
              <w:szCs w:val="24"/>
            </w:rPr>
            <w:br/>
          </m:r>
        </m:oMath>
      </m:oMathPara>
    </w:p>
    <w:p w14:paraId="0B8D1756"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with coherence dependency:</w:t>
      </w:r>
    </w:p>
    <w:p w14:paraId="3EC4F251"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H∝</m:t>
          </m:r>
          <m:r>
            <m:rPr>
              <m:sty m:val="p"/>
            </m:rPr>
            <w:rPr>
              <w:rFonts w:ascii="Cambria Math" w:eastAsia="Times New Roman" w:hAnsi="Cambria Math" w:cs="Times New Roman"/>
              <w:sz w:val="24"/>
              <w:szCs w:val="24"/>
            </w:rPr>
            <m:t>exp</m:t>
          </m:r>
          <m:r>
            <w:rPr>
              <w:rFonts w:ascii="Cambria Math" w:eastAsia="Times New Roman" w:hAnsi="Cambria Math" w:cs="Times New Roman"/>
              <w:sz w:val="24"/>
              <w:szCs w:val="24"/>
            </w:rPr>
            <m:t>⁡</m:t>
          </m:r>
          <m:d>
            <m:dPr>
              <m:sepChr m:val="−"/>
              <m:ctrlPr>
                <w:rPr>
                  <w:rFonts w:ascii="Cambria Math" w:eastAsia="Times New Roman" w:hAnsi="Cambria Math" w:cs="Times New Roman"/>
                  <w:sz w:val="24"/>
                  <w:szCs w:val="24"/>
                </w:rPr>
              </m:ctrlPr>
            </m:dPr>
            <m:e/>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m:t>
                  </m:r>
                </m:num>
                <m:den>
                  <m:r>
                    <w:rPr>
                      <w:rFonts w:ascii="Cambria Math" w:eastAsia="Times New Roman" w:hAnsi="Cambria Math" w:cs="Times New Roman"/>
                      <w:sz w:val="24"/>
                      <w:szCs w:val="24"/>
                    </w:rPr>
                    <m:t>CIT</m:t>
                  </m:r>
                </m:den>
              </m:f>
            </m:e>
          </m:d>
          <m:r>
            <w:rPr>
              <w:rFonts w:ascii="Cambria Math" w:eastAsia="Times New Roman" w:hAnsi="Cambria Math" w:cs="Times New Roman"/>
              <w:sz w:val="24"/>
              <w:szCs w:val="24"/>
            </w:rPr>
            <w:br/>
          </m:r>
        </m:oMath>
      </m:oMathPara>
    </w:p>
    <w:p w14:paraId="2490F07C"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lastRenderedPageBreak/>
        <w:t>This establishes synchronization as a physical driver of structure stability.</w:t>
      </w:r>
    </w:p>
    <w:p w14:paraId="61E835D0"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Physical Interpretation</w:t>
      </w:r>
    </w:p>
    <w:p w14:paraId="246568DF"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 model predicts three regimes:</w:t>
      </w:r>
    </w:p>
    <w:p w14:paraId="6174F399"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b/>
          <w:bCs/>
          <w:sz w:val="24"/>
          <w:szCs w:val="24"/>
        </w:rPr>
        <w:t>Disordered Phase</w:t>
      </w:r>
      <w:r w:rsidRPr="000648DB">
        <w:rPr>
          <w:rFonts w:ascii="Times New Roman" w:eastAsia="Times New Roman" w:hAnsi="Times New Roman" w:cs="Times New Roman"/>
          <w:sz w:val="24"/>
          <w:szCs w:val="24"/>
        </w:rPr>
        <w:br/>
        <w:t xml:space="preserve">Low </w:t>
      </w:r>
      <m:oMath>
        <m:r>
          <w:rPr>
            <w:rFonts w:ascii="Cambria Math" w:eastAsia="Times New Roman" w:hAnsi="Cambria Math" w:cs="Times New Roman"/>
            <w:sz w:val="24"/>
            <w:szCs w:val="24"/>
          </w:rPr>
          <m:t>H</m:t>
        </m:r>
      </m:oMath>
      <w:r w:rsidRPr="000648DB">
        <w:rPr>
          <w:rFonts w:ascii="Times New Roman" w:eastAsia="Times New Roman" w:hAnsi="Times New Roman" w:cs="Times New Roman"/>
          <w:sz w:val="24"/>
          <w:szCs w:val="24"/>
        </w:rPr>
        <w:t>, weak coupling, high velocity mismatch</w:t>
      </w:r>
    </w:p>
    <w:p w14:paraId="5EB22473"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b/>
          <w:bCs/>
          <w:sz w:val="24"/>
          <w:szCs w:val="24"/>
        </w:rPr>
        <w:t>Transport Phase</w:t>
      </w:r>
      <w:r w:rsidRPr="000648DB">
        <w:rPr>
          <w:rFonts w:ascii="Times New Roman" w:eastAsia="Times New Roman" w:hAnsi="Times New Roman" w:cs="Times New Roman"/>
          <w:sz w:val="24"/>
          <w:szCs w:val="24"/>
        </w:rPr>
        <w:br/>
        <w:t xml:space="preserve">Moderate </w:t>
      </w:r>
      <m:oMath>
        <m:r>
          <w:rPr>
            <w:rFonts w:ascii="Cambria Math" w:eastAsia="Times New Roman" w:hAnsi="Cambria Math" w:cs="Times New Roman"/>
            <w:sz w:val="24"/>
            <w:szCs w:val="24"/>
          </w:rPr>
          <m:t>H</m:t>
        </m:r>
      </m:oMath>
      <w:r w:rsidRPr="000648DB">
        <w:rPr>
          <w:rFonts w:ascii="Times New Roman" w:eastAsia="Times New Roman" w:hAnsi="Times New Roman" w:cs="Times New Roman"/>
          <w:sz w:val="24"/>
          <w:szCs w:val="24"/>
        </w:rPr>
        <w:t xml:space="preserve">, high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oMath>
      <w:r w:rsidRPr="000648DB">
        <w:rPr>
          <w:rFonts w:ascii="Times New Roman" w:eastAsia="Times New Roman" w:hAnsi="Times New Roman" w:cs="Times New Roman"/>
          <w:sz w:val="24"/>
          <w:szCs w:val="24"/>
        </w:rPr>
        <w:t>, stable propagation</w:t>
      </w:r>
    </w:p>
    <w:p w14:paraId="732D30E2"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b/>
          <w:bCs/>
          <w:sz w:val="24"/>
          <w:szCs w:val="24"/>
        </w:rPr>
        <w:t>Structured Phase</w:t>
      </w:r>
      <w:r w:rsidRPr="000648DB">
        <w:rPr>
          <w:rFonts w:ascii="Times New Roman" w:eastAsia="Times New Roman" w:hAnsi="Times New Roman" w:cs="Times New Roman"/>
          <w:sz w:val="24"/>
          <w:szCs w:val="24"/>
        </w:rPr>
        <w:br/>
        <w:t xml:space="preserve">High </w:t>
      </w:r>
      <m:oMath>
        <m:r>
          <w:rPr>
            <w:rFonts w:ascii="Cambria Math" w:eastAsia="Times New Roman" w:hAnsi="Cambria Math" w:cs="Times New Roman"/>
            <w:sz w:val="24"/>
            <w:szCs w:val="24"/>
          </w:rPr>
          <m:t>H→1</m:t>
        </m:r>
      </m:oMath>
      <w:r w:rsidRPr="000648DB">
        <w:rPr>
          <w:rFonts w:ascii="Times New Roman" w:eastAsia="Times New Roman" w:hAnsi="Times New Roman" w:cs="Times New Roman"/>
          <w:sz w:val="24"/>
          <w:szCs w:val="24"/>
        </w:rPr>
        <w:t>, strong coupling, minimal timing mismatch</w:t>
      </w:r>
    </w:p>
    <w:p w14:paraId="27B93787"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These correspond respectively to pre-matter fields, energy transport states, and stable matter-like structures.</w:t>
      </w:r>
    </w:p>
    <w:p w14:paraId="53B9BF39"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Falsifiability and Testable Predictions</w:t>
      </w:r>
    </w:p>
    <w:p w14:paraId="17E9DF60"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The framework produces direct, testable outcomes:</w:t>
      </w:r>
    </w:p>
    <w:p w14:paraId="022B2E69"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 xml:space="preserve">If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κ</m:t>
            </m:r>
          </m:e>
          <m:sub>
            <m:r>
              <m:rPr>
                <m:nor/>
              </m:rPr>
              <w:rPr>
                <w:rFonts w:ascii="Times New Roman" w:eastAsia="Times New Roman" w:hAnsi="Times New Roman" w:cs="Times New Roman"/>
                <w:sz w:val="24"/>
                <w:szCs w:val="24"/>
              </w:rPr>
              <m:t>eff</m:t>
            </m:r>
          </m:sub>
        </m:sSub>
      </m:oMath>
      <w:r w:rsidRPr="000648DB">
        <w:rPr>
          <w:rFonts w:ascii="Times New Roman" w:eastAsia="Times New Roman" w:hAnsi="Times New Roman" w:cs="Times New Roman"/>
          <w:sz w:val="24"/>
          <w:szCs w:val="24"/>
        </w:rPr>
        <w:t>increases, coherence must increase monotonically.</w:t>
      </w:r>
    </w:p>
    <w:p w14:paraId="4DA01F07"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 xml:space="preserve">If </w:t>
      </w:r>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VT-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&gt;Tol</m:t>
        </m:r>
      </m:oMath>
      <w:r w:rsidRPr="000648DB">
        <w:rPr>
          <w:rFonts w:ascii="Times New Roman" w:eastAsia="Times New Roman" w:hAnsi="Times New Roman" w:cs="Times New Roman"/>
          <w:sz w:val="24"/>
          <w:szCs w:val="24"/>
        </w:rPr>
        <w:t>, coherence collapses.</w:t>
      </w:r>
    </w:p>
    <w:p w14:paraId="12D321D2"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Stable structures only occur when:</w:t>
      </w:r>
    </w:p>
    <w:p w14:paraId="48C52A57" w14:textId="77777777" w:rsidR="000648DB" w:rsidRPr="000648DB" w:rsidRDefault="000648DB" w:rsidP="000648DB">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VT</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RMS</m:t>
                  </m:r>
                </m:sub>
              </m:sSub>
            </m:den>
          </m:f>
          <m:r>
            <w:rPr>
              <w:rFonts w:ascii="Cambria Math" w:eastAsia="Times New Roman" w:hAnsi="Cambria Math" w:cs="Times New Roman"/>
              <w:sz w:val="24"/>
              <w:szCs w:val="24"/>
            </w:rPr>
            <m:t>≈1</m:t>
          </m:r>
          <m:r>
            <w:rPr>
              <w:rFonts w:ascii="Cambria Math" w:eastAsia="Times New Roman" w:hAnsi="Cambria Math" w:cs="Times New Roman"/>
              <w:i/>
              <w:sz w:val="24"/>
              <w:szCs w:val="24"/>
            </w:rPr>
            <w:br/>
          </m:r>
        </m:oMath>
      </m:oMathPara>
    </w:p>
    <w:p w14:paraId="4EF61629"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Observable datasets for validation include:</w:t>
      </w:r>
    </w:p>
    <w:p w14:paraId="51BCF278"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Geomagnetic field time series (USGS, INTERMAGNET)</w:t>
      </w:r>
    </w:p>
    <w:p w14:paraId="58AEBBAF"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Spacecraft Doppler and trajectory residuals (NASA missions)</w:t>
      </w:r>
    </w:p>
    <w:p w14:paraId="42631D76"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Atomic clock synchronization errors (GPS systems)</w:t>
      </w:r>
    </w:p>
    <w:p w14:paraId="6F6E1F7E"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Spectral analysis should reveal convergence toward a preferred dynamic scale if the invariant holds.</w:t>
      </w:r>
    </w:p>
    <w:p w14:paraId="169C2E05" w14:textId="77777777" w:rsid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p>
    <w:p w14:paraId="17FA3106" w14:textId="39AF56A8"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lastRenderedPageBreak/>
        <w:t>Discussion</w:t>
      </w:r>
    </w:p>
    <w:p w14:paraId="74376142"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This framework bridges statistical mechanics, relativity, and field theory through a coherence-driven invariant. Unlike purely descriptive models, it introduces a measurable pathway from distributed energy to structured matter. The inclusion of CST provides a temporal constraint that complements spatial curvature, suggesting that synchronization may be a hidden variable in large-scale structure formation.</w:t>
      </w:r>
    </w:p>
    <w:p w14:paraId="57A866CD"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Conclusion</w:t>
      </w:r>
    </w:p>
    <w:p w14:paraId="727CAE05"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A unified, time-dependent, and physically anchored model for structure formation has been established. By introducing a coherence invariant and coupling it with time evolution and synchronization dynamics, the framework moves beyond conceptual analogy into a falsifiable and testable theory. Future work will involve numerical simulation and application to real-world datasets to determine whether a universal coherence scale emerges.</w:t>
      </w:r>
    </w:p>
    <w:p w14:paraId="3C0F2DC1" w14:textId="77777777" w:rsidR="000648DB" w:rsidRPr="000648DB" w:rsidRDefault="000648DB" w:rsidP="000648DB">
      <w:pPr>
        <w:spacing w:before="100" w:beforeAutospacing="1" w:after="100" w:afterAutospacing="1" w:line="240" w:lineRule="auto"/>
        <w:outlineLvl w:val="1"/>
        <w:rPr>
          <w:rFonts w:ascii="Times New Roman" w:eastAsia="Times New Roman" w:hAnsi="Times New Roman" w:cs="Times New Roman"/>
          <w:b/>
          <w:bCs/>
          <w:sz w:val="36"/>
          <w:szCs w:val="36"/>
        </w:rPr>
      </w:pPr>
      <w:r w:rsidRPr="000648DB">
        <w:rPr>
          <w:rFonts w:ascii="Times New Roman" w:eastAsia="Times New Roman" w:hAnsi="Times New Roman" w:cs="Times New Roman"/>
          <w:b/>
          <w:bCs/>
          <w:sz w:val="36"/>
          <w:szCs w:val="36"/>
        </w:rPr>
        <w:t>References</w:t>
      </w:r>
    </w:p>
    <w:p w14:paraId="2D5B1224"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 xml:space="preserve">Einstein, A. (1905). On the Electrodynamics of Moving Bodies. </w:t>
      </w:r>
      <w:r w:rsidRPr="000648DB">
        <w:rPr>
          <w:rFonts w:ascii="Times New Roman" w:eastAsia="Times New Roman" w:hAnsi="Times New Roman" w:cs="Times New Roman"/>
          <w:i/>
          <w:iCs/>
          <w:sz w:val="24"/>
          <w:szCs w:val="24"/>
        </w:rPr>
        <w:t xml:space="preserve">Annalen der </w:t>
      </w:r>
      <w:proofErr w:type="spellStart"/>
      <w:r w:rsidRPr="000648DB">
        <w:rPr>
          <w:rFonts w:ascii="Times New Roman" w:eastAsia="Times New Roman" w:hAnsi="Times New Roman" w:cs="Times New Roman"/>
          <w:i/>
          <w:iCs/>
          <w:sz w:val="24"/>
          <w:szCs w:val="24"/>
        </w:rPr>
        <w:t>Physik</w:t>
      </w:r>
      <w:proofErr w:type="spellEnd"/>
      <w:r w:rsidRPr="000648DB">
        <w:rPr>
          <w:rFonts w:ascii="Times New Roman" w:eastAsia="Times New Roman" w:hAnsi="Times New Roman" w:cs="Times New Roman"/>
          <w:sz w:val="24"/>
          <w:szCs w:val="24"/>
        </w:rPr>
        <w:t>.</w:t>
      </w:r>
    </w:p>
    <w:p w14:paraId="19D3BE6E"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 xml:space="preserve">Misner, C., Thorne, K., Wheeler, J. (1973). </w:t>
      </w:r>
      <w:r w:rsidRPr="000648DB">
        <w:rPr>
          <w:rFonts w:ascii="Times New Roman" w:eastAsia="Times New Roman" w:hAnsi="Times New Roman" w:cs="Times New Roman"/>
          <w:i/>
          <w:iCs/>
          <w:sz w:val="24"/>
          <w:szCs w:val="24"/>
        </w:rPr>
        <w:t>Gravitation</w:t>
      </w:r>
      <w:r w:rsidRPr="000648DB">
        <w:rPr>
          <w:rFonts w:ascii="Times New Roman" w:eastAsia="Times New Roman" w:hAnsi="Times New Roman" w:cs="Times New Roman"/>
          <w:sz w:val="24"/>
          <w:szCs w:val="24"/>
        </w:rPr>
        <w:t>. W.H. Freeman.</w:t>
      </w:r>
    </w:p>
    <w:p w14:paraId="6B3D4325"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 xml:space="preserve">Reif, F. (1965). </w:t>
      </w:r>
      <w:r w:rsidRPr="000648DB">
        <w:rPr>
          <w:rFonts w:ascii="Times New Roman" w:eastAsia="Times New Roman" w:hAnsi="Times New Roman" w:cs="Times New Roman"/>
          <w:i/>
          <w:iCs/>
          <w:sz w:val="24"/>
          <w:szCs w:val="24"/>
        </w:rPr>
        <w:t>Fundamentals of Statistical and Thermal Physics</w:t>
      </w:r>
      <w:r w:rsidRPr="000648DB">
        <w:rPr>
          <w:rFonts w:ascii="Times New Roman" w:eastAsia="Times New Roman" w:hAnsi="Times New Roman" w:cs="Times New Roman"/>
          <w:sz w:val="24"/>
          <w:szCs w:val="24"/>
        </w:rPr>
        <w:t>. McGraw-Hill.</w:t>
      </w:r>
    </w:p>
    <w:p w14:paraId="2845E3B2"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Planck, M. (1901). On the Law of Distribution of Energy in the Normal Spectrum.</w:t>
      </w:r>
    </w:p>
    <w:p w14:paraId="1C3CE3E1"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NASA Jet Propulsion Laboratory. Spacecraft Tracking Data Archives.</w:t>
      </w:r>
    </w:p>
    <w:p w14:paraId="66FEFBC3"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USGS Geomagnetism Program. Observatory Data Services.</w:t>
      </w:r>
    </w:p>
    <w:p w14:paraId="5F0D5D8D"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INTERMAGNET Consortium. Global Magnetic Observatory Network.</w:t>
      </w:r>
    </w:p>
    <w:p w14:paraId="1ECAD1C7" w14:textId="77777777" w:rsid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r w:rsidRPr="000648DB">
        <w:rPr>
          <w:rFonts w:ascii="Times New Roman" w:eastAsia="Times New Roman" w:hAnsi="Times New Roman" w:cs="Times New Roman"/>
          <w:sz w:val="24"/>
          <w:szCs w:val="24"/>
        </w:rPr>
        <w:t xml:space="preserve">Ashby, N. (2003). Relativity in the Global Positioning System. </w:t>
      </w:r>
      <w:r w:rsidRPr="000648DB">
        <w:rPr>
          <w:rFonts w:ascii="Times New Roman" w:eastAsia="Times New Roman" w:hAnsi="Times New Roman" w:cs="Times New Roman"/>
          <w:i/>
          <w:iCs/>
          <w:sz w:val="24"/>
          <w:szCs w:val="24"/>
        </w:rPr>
        <w:t>Living Reviews in Relativity</w:t>
      </w:r>
      <w:r w:rsidRPr="000648DB">
        <w:rPr>
          <w:rFonts w:ascii="Times New Roman" w:eastAsia="Times New Roman" w:hAnsi="Times New Roman" w:cs="Times New Roman"/>
          <w:sz w:val="24"/>
          <w:szCs w:val="24"/>
        </w:rPr>
        <w:t>.</w:t>
      </w:r>
    </w:p>
    <w:p w14:paraId="035DB5AE" w14:textId="77777777" w:rsid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p>
    <w:p w14:paraId="19424C30" w14:textId="77777777" w:rsid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p>
    <w:p w14:paraId="62682BCA" w14:textId="77777777" w:rsid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p>
    <w:p w14:paraId="20BD0410" w14:textId="77777777" w:rsid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p>
    <w:p w14:paraId="6BDC6813" w14:textId="77777777" w:rsidR="000648DB" w:rsidRPr="000648DB" w:rsidRDefault="000648DB" w:rsidP="000648DB">
      <w:pPr>
        <w:spacing w:before="100" w:beforeAutospacing="1" w:after="100" w:afterAutospacing="1" w:line="240" w:lineRule="auto"/>
        <w:rPr>
          <w:rFonts w:ascii="Times New Roman" w:eastAsia="Times New Roman" w:hAnsi="Times New Roman" w:cs="Times New Roman"/>
          <w:sz w:val="24"/>
          <w:szCs w:val="24"/>
        </w:rPr>
      </w:pPr>
    </w:p>
    <w:p w14:paraId="049DBFE1" w14:textId="49DE8624" w:rsidR="00C13934" w:rsidRPr="000648DB" w:rsidRDefault="000648DB" w:rsidP="000648DB">
      <w:pPr>
        <w:jc w:val="center"/>
      </w:pPr>
      <w:r>
        <w:rPr>
          <w:noProof/>
        </w:rPr>
        <w:lastRenderedPageBreak/>
        <w:drawing>
          <wp:inline distT="0" distB="0" distL="0" distR="0" wp14:anchorId="78CCE98B" wp14:editId="68A76413">
            <wp:extent cx="5486400" cy="3657600"/>
            <wp:effectExtent l="0" t="0" r="0" b="0"/>
            <wp:docPr id="4777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47403" name="Picture 477747403"/>
                    <pic:cNvPicPr/>
                  </pic:nvPicPr>
                  <pic:blipFill>
                    <a:blip r:embed="rId6"/>
                    <a:stretch>
                      <a:fillRect/>
                    </a:stretch>
                  </pic:blipFill>
                  <pic:spPr>
                    <a:xfrm>
                      <a:off x="0" y="0"/>
                      <a:ext cx="5486400" cy="3657600"/>
                    </a:xfrm>
                    <a:prstGeom prst="rect">
                      <a:avLst/>
                    </a:prstGeom>
                  </pic:spPr>
                </pic:pic>
              </a:graphicData>
            </a:graphic>
          </wp:inline>
        </w:drawing>
      </w:r>
    </w:p>
    <w:sectPr w:rsidR="00C13934" w:rsidRPr="000648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46097"/>
    <w:multiLevelType w:val="multilevel"/>
    <w:tmpl w:val="7C28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92C60"/>
    <w:multiLevelType w:val="multilevel"/>
    <w:tmpl w:val="24EC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87034"/>
    <w:multiLevelType w:val="multilevel"/>
    <w:tmpl w:val="9700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3439B"/>
    <w:multiLevelType w:val="multilevel"/>
    <w:tmpl w:val="AA482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8A5013"/>
    <w:multiLevelType w:val="multilevel"/>
    <w:tmpl w:val="763E8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316960"/>
    <w:multiLevelType w:val="multilevel"/>
    <w:tmpl w:val="C5920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CD0AEC"/>
    <w:multiLevelType w:val="multilevel"/>
    <w:tmpl w:val="7284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413D09"/>
    <w:multiLevelType w:val="multilevel"/>
    <w:tmpl w:val="5F50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E3F01"/>
    <w:multiLevelType w:val="multilevel"/>
    <w:tmpl w:val="81948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B06D52"/>
    <w:multiLevelType w:val="multilevel"/>
    <w:tmpl w:val="64A8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707B0"/>
    <w:multiLevelType w:val="multilevel"/>
    <w:tmpl w:val="40E03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135832"/>
    <w:multiLevelType w:val="multilevel"/>
    <w:tmpl w:val="5ED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E6699"/>
    <w:multiLevelType w:val="multilevel"/>
    <w:tmpl w:val="72A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02D6C"/>
    <w:multiLevelType w:val="multilevel"/>
    <w:tmpl w:val="9EE2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B6BC4"/>
    <w:multiLevelType w:val="multilevel"/>
    <w:tmpl w:val="0790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C5EC9"/>
    <w:multiLevelType w:val="multilevel"/>
    <w:tmpl w:val="FA62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A62FC"/>
    <w:multiLevelType w:val="multilevel"/>
    <w:tmpl w:val="3554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51530"/>
    <w:multiLevelType w:val="multilevel"/>
    <w:tmpl w:val="2C541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478F5"/>
    <w:multiLevelType w:val="multilevel"/>
    <w:tmpl w:val="649C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45E12"/>
    <w:multiLevelType w:val="multilevel"/>
    <w:tmpl w:val="5A7E0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EA6C4D"/>
    <w:multiLevelType w:val="multilevel"/>
    <w:tmpl w:val="435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15362"/>
    <w:multiLevelType w:val="multilevel"/>
    <w:tmpl w:val="4D2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2502C"/>
    <w:multiLevelType w:val="multilevel"/>
    <w:tmpl w:val="CEAC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E11A6"/>
    <w:multiLevelType w:val="multilevel"/>
    <w:tmpl w:val="8D1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72032"/>
    <w:multiLevelType w:val="multilevel"/>
    <w:tmpl w:val="996E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51D58"/>
    <w:multiLevelType w:val="multilevel"/>
    <w:tmpl w:val="C2E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E6FE9"/>
    <w:multiLevelType w:val="multilevel"/>
    <w:tmpl w:val="0B204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B73A8"/>
    <w:multiLevelType w:val="multilevel"/>
    <w:tmpl w:val="A218E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C5A1B"/>
    <w:multiLevelType w:val="multilevel"/>
    <w:tmpl w:val="1BB8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27B7F"/>
    <w:multiLevelType w:val="multilevel"/>
    <w:tmpl w:val="F5D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656C5"/>
    <w:multiLevelType w:val="multilevel"/>
    <w:tmpl w:val="3BA6B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3F5D8F"/>
    <w:multiLevelType w:val="multilevel"/>
    <w:tmpl w:val="1294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B3A85"/>
    <w:multiLevelType w:val="multilevel"/>
    <w:tmpl w:val="607AB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E53A9B"/>
    <w:multiLevelType w:val="multilevel"/>
    <w:tmpl w:val="36C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40030"/>
    <w:multiLevelType w:val="multilevel"/>
    <w:tmpl w:val="CDF6E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1B1812"/>
    <w:multiLevelType w:val="multilevel"/>
    <w:tmpl w:val="4BC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EC0131"/>
    <w:multiLevelType w:val="multilevel"/>
    <w:tmpl w:val="C87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E6914"/>
    <w:multiLevelType w:val="multilevel"/>
    <w:tmpl w:val="D92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91ACF"/>
    <w:multiLevelType w:val="multilevel"/>
    <w:tmpl w:val="79FE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0687B"/>
    <w:multiLevelType w:val="multilevel"/>
    <w:tmpl w:val="E3D8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072977">
    <w:abstractNumId w:val="8"/>
  </w:num>
  <w:num w:numId="2" w16cid:durableId="1994751577">
    <w:abstractNumId w:val="6"/>
  </w:num>
  <w:num w:numId="3" w16cid:durableId="1017779036">
    <w:abstractNumId w:val="5"/>
  </w:num>
  <w:num w:numId="4" w16cid:durableId="1531138154">
    <w:abstractNumId w:val="4"/>
  </w:num>
  <w:num w:numId="5" w16cid:durableId="1313408040">
    <w:abstractNumId w:val="7"/>
  </w:num>
  <w:num w:numId="6" w16cid:durableId="1813518337">
    <w:abstractNumId w:val="3"/>
  </w:num>
  <w:num w:numId="7" w16cid:durableId="487863429">
    <w:abstractNumId w:val="2"/>
  </w:num>
  <w:num w:numId="8" w16cid:durableId="376588575">
    <w:abstractNumId w:val="1"/>
  </w:num>
  <w:num w:numId="9" w16cid:durableId="1939898262">
    <w:abstractNumId w:val="0"/>
  </w:num>
  <w:num w:numId="10" w16cid:durableId="1170490034">
    <w:abstractNumId w:val="36"/>
  </w:num>
  <w:num w:numId="11" w16cid:durableId="862982425">
    <w:abstractNumId w:val="32"/>
  </w:num>
  <w:num w:numId="12" w16cid:durableId="2059081733">
    <w:abstractNumId w:val="22"/>
  </w:num>
  <w:num w:numId="13" w16cid:durableId="1463228243">
    <w:abstractNumId w:val="42"/>
  </w:num>
  <w:num w:numId="14" w16cid:durableId="875776624">
    <w:abstractNumId w:val="23"/>
  </w:num>
  <w:num w:numId="15" w16cid:durableId="1390151341">
    <w:abstractNumId w:val="21"/>
  </w:num>
  <w:num w:numId="16" w16cid:durableId="2050763278">
    <w:abstractNumId w:val="33"/>
  </w:num>
  <w:num w:numId="17" w16cid:durableId="340201889">
    <w:abstractNumId w:val="35"/>
  </w:num>
  <w:num w:numId="18" w16cid:durableId="1883054531">
    <w:abstractNumId w:val="26"/>
  </w:num>
  <w:num w:numId="19" w16cid:durableId="818618947">
    <w:abstractNumId w:val="30"/>
  </w:num>
  <w:num w:numId="20" w16cid:durableId="1599144355">
    <w:abstractNumId w:val="39"/>
  </w:num>
  <w:num w:numId="21" w16cid:durableId="42483227">
    <w:abstractNumId w:val="28"/>
  </w:num>
  <w:num w:numId="22" w16cid:durableId="309133692">
    <w:abstractNumId w:val="27"/>
  </w:num>
  <w:num w:numId="23" w16cid:durableId="97798079">
    <w:abstractNumId w:val="12"/>
  </w:num>
  <w:num w:numId="24" w16cid:durableId="681470558">
    <w:abstractNumId w:val="29"/>
  </w:num>
  <w:num w:numId="25" w16cid:durableId="1300459707">
    <w:abstractNumId w:val="41"/>
  </w:num>
  <w:num w:numId="26" w16cid:durableId="1387484132">
    <w:abstractNumId w:val="44"/>
  </w:num>
  <w:num w:numId="27" w16cid:durableId="992829253">
    <w:abstractNumId w:val="19"/>
  </w:num>
  <w:num w:numId="28" w16cid:durableId="1589080057">
    <w:abstractNumId w:val="15"/>
  </w:num>
  <w:num w:numId="29" w16cid:durableId="550724864">
    <w:abstractNumId w:val="14"/>
  </w:num>
  <w:num w:numId="30" w16cid:durableId="787968256">
    <w:abstractNumId w:val="45"/>
  </w:num>
  <w:num w:numId="31" w16cid:durableId="609317875">
    <w:abstractNumId w:val="40"/>
  </w:num>
  <w:num w:numId="32" w16cid:durableId="1212035224">
    <w:abstractNumId w:val="16"/>
  </w:num>
  <w:num w:numId="33" w16cid:durableId="316493748">
    <w:abstractNumId w:val="37"/>
  </w:num>
  <w:num w:numId="34" w16cid:durableId="1948275423">
    <w:abstractNumId w:val="10"/>
  </w:num>
  <w:num w:numId="35" w16cid:durableId="3629345">
    <w:abstractNumId w:val="11"/>
  </w:num>
  <w:num w:numId="36" w16cid:durableId="332340008">
    <w:abstractNumId w:val="13"/>
  </w:num>
  <w:num w:numId="37" w16cid:durableId="1464883405">
    <w:abstractNumId w:val="43"/>
  </w:num>
  <w:num w:numId="38" w16cid:durableId="1606033384">
    <w:abstractNumId w:val="9"/>
  </w:num>
  <w:num w:numId="39" w16cid:durableId="538972932">
    <w:abstractNumId w:val="31"/>
  </w:num>
  <w:num w:numId="40" w16cid:durableId="843859712">
    <w:abstractNumId w:val="25"/>
  </w:num>
  <w:num w:numId="41" w16cid:durableId="989210946">
    <w:abstractNumId w:val="20"/>
  </w:num>
  <w:num w:numId="42" w16cid:durableId="1682507053">
    <w:abstractNumId w:val="46"/>
  </w:num>
  <w:num w:numId="43" w16cid:durableId="1672902263">
    <w:abstractNumId w:val="24"/>
  </w:num>
  <w:num w:numId="44" w16cid:durableId="1163814558">
    <w:abstractNumId w:val="18"/>
  </w:num>
  <w:num w:numId="45" w16cid:durableId="972951528">
    <w:abstractNumId w:val="17"/>
  </w:num>
  <w:num w:numId="46" w16cid:durableId="646668073">
    <w:abstractNumId w:val="47"/>
  </w:num>
  <w:num w:numId="47" w16cid:durableId="1226724441">
    <w:abstractNumId w:val="34"/>
  </w:num>
  <w:num w:numId="48" w16cid:durableId="814376981">
    <w:abstractNumId w:val="48"/>
  </w:num>
  <w:num w:numId="49" w16cid:durableId="14954164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8DB"/>
    <w:rsid w:val="0015074B"/>
    <w:rsid w:val="0021230C"/>
    <w:rsid w:val="0029639D"/>
    <w:rsid w:val="00326F90"/>
    <w:rsid w:val="004433B0"/>
    <w:rsid w:val="00652EA7"/>
    <w:rsid w:val="00AA1D8D"/>
    <w:rsid w:val="00B47730"/>
    <w:rsid w:val="00C139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FE210"/>
  <w14:defaultImageDpi w14:val="300"/>
  <w15:docId w15:val="{911C4818-D757-4473-ADBF-1338B6F9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950</Words>
  <Characters>5123</Characters>
  <Application>Microsoft Office Word</Application>
  <DocSecurity>0</DocSecurity>
  <Lines>142</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3</cp:revision>
  <dcterms:created xsi:type="dcterms:W3CDTF">2013-12-23T23:15:00Z</dcterms:created>
  <dcterms:modified xsi:type="dcterms:W3CDTF">2026-04-19T15:38:00Z</dcterms:modified>
  <cp:category/>
</cp:coreProperties>
</file>