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Photon Flux, Neutral Rhythms, and Engineering Applications</w:t>
      </w:r>
    </w:p>
    <w:p>
      <w:pPr>
        <w:pStyle w:val="Heading1"/>
      </w:pPr>
      <w:r>
        <w:t>Abstract</w:t>
      </w:r>
    </w:p>
    <w:p>
      <w:r>
        <w:t>Photons, as quanta of the electromagnetic field, provide a direct and measurable bridge between fundamental physics and engineering systems. This work presents a calculation-driven framework for estimating photon energy, flux, momentum, and radiation pressure, and introduces a formalized model of environmental photon variability termed 'neutral rhythm'. This framework enables applications in navigation, timing synchronization, and controlled environmental interaction, while remaining fully consistent with established physics.</w:t>
      </w:r>
    </w:p>
    <w:p>
      <w:pPr>
        <w:pStyle w:val="Heading1"/>
      </w:pPr>
      <w:r>
        <w:t>1. Photon Fundamentals</w:t>
      </w:r>
    </w:p>
    <w:p>
      <w:r>
        <w:t>Energy: E = h·c / λ</w:t>
      </w:r>
    </w:p>
    <w:p>
      <w:r>
        <w:t>Photon Flux: Φ = I / E</w:t>
      </w:r>
    </w:p>
    <w:p>
      <w:r>
        <w:t>Radiation Pressure: P = I / c (absorption), P = 2I / c (reflection)</w:t>
      </w:r>
    </w:p>
    <w:p>
      <w:pPr>
        <w:pStyle w:val="Heading1"/>
      </w:pPr>
      <w:r>
        <w:t>2. Formal Definition of Neutral Rhythm</w:t>
      </w:r>
    </w:p>
    <w:p>
      <w:r>
        <w:t>I(t) = I₀ + ΔI_day(t) + ΔI_season(t) + ΔI_solar(t)</w:t>
        <w:br/>
        <w:br/>
        <w:t>This decomposition represents the time-varying photon irradiance as a sum of periodic environmental drivers.</w:t>
      </w:r>
    </w:p>
    <w:p>
      <w:pPr>
        <w:pStyle w:val="Heading1"/>
      </w:pPr>
      <w:r>
        <w:t>3. Dimensional Consistency</w:t>
      </w:r>
    </w:p>
    <w:p>
      <w:r>
        <w:t>P = I / c → (W/m²)/(m/s) = N/m²</w:t>
        <w:br/>
        <w:t>This confirms radiation pressure has correct physical units.</w:t>
      </w:r>
    </w:p>
    <w:p>
      <w:pPr>
        <w:pStyle w:val="Heading1"/>
      </w:pPr>
      <w:r>
        <w:t>4. Example Calculations</w:t>
      </w:r>
    </w:p>
    <w:p>
      <w:r>
        <w:t>Photon Energy (550 nm): E ≈ 3.6 × 10⁻¹⁹ J</w:t>
        <w:br/>
        <w:t>Photon Flux at 1000 W/m²: Φ ≈ 2.8 × 10²¹ photons/m²/s</w:t>
        <w:br/>
        <w:t>Radiation Pressure: P ≈ 4.5 × 10⁻⁶ Pa</w:t>
      </w:r>
    </w:p>
    <w:p>
      <w:pPr>
        <w:pStyle w:val="Heading1"/>
      </w:pPr>
      <w:r>
        <w:t>5. Variability and Uncertainty</w:t>
      </w:r>
    </w:p>
    <w:p>
      <w:r>
        <w:t>- Atmospheric attenuation</w:t>
        <w:br/>
        <w:t>- Spectral distribution effects</w:t>
        <w:br/>
        <w:t>- Cloud and aerosol scattering</w:t>
        <w:br/>
        <w:t>- Solar activity fluctuations</w:t>
      </w:r>
    </w:p>
    <w:p>
      <w:pPr>
        <w:pStyle w:val="Heading1"/>
      </w:pPr>
      <w:r>
        <w:t>6. Engineering Applications</w:t>
      </w:r>
    </w:p>
    <w:p>
      <w:r>
        <w:t>- Navigation timing via photon signals</w:t>
        <w:br/>
        <w:t>- Radiation pressure for propulsion (solar sails)</w:t>
        <w:br/>
        <w:t>- Directed energy for debris mitigation</w:t>
      </w:r>
    </w:p>
    <w:p>
      <w:pPr>
        <w:pStyle w:val="Heading1"/>
      </w:pPr>
      <w:r>
        <w:t>References</w:t>
      </w:r>
    </w:p>
    <w:p>
      <w:r>
        <w:t>Kopp &amp; Lean (2011) Solar Irradiance</w:t>
        <w:br/>
        <w:t>Einstein (1905) Photoelectric Effect</w:t>
        <w:br/>
        <w:t>ASTM G173 Solar Spectrum</w:t>
        <w:br/>
        <w:t>ANSI Z136 Laser Safety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