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ECC4" w14:textId="77777777" w:rsidR="009118F3" w:rsidRPr="009118F3" w:rsidRDefault="009118F3" w:rsidP="009118F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18F3">
        <w:rPr>
          <w:rFonts w:ascii="Times New Roman" w:eastAsia="Times New Roman" w:hAnsi="Times New Roman" w:cs="Times New Roman"/>
          <w:b/>
          <w:bCs/>
          <w:kern w:val="36"/>
          <w:sz w:val="48"/>
          <w:szCs w:val="48"/>
        </w:rPr>
        <w:t>The Cosmic Clock and the Warp Engine: A Unified Framework of Atomic Time, Cosmic Standard Time, and Relativistic Navigation</w:t>
      </w:r>
    </w:p>
    <w:p w14:paraId="3A15FD36"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b/>
          <w:bCs/>
          <w:sz w:val="24"/>
          <w:szCs w:val="24"/>
        </w:rPr>
        <w:t>Author: Gabino Casanova</w:t>
      </w:r>
    </w:p>
    <w:p w14:paraId="789FCA91"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Abstract</w:t>
      </w:r>
    </w:p>
    <w:p w14:paraId="252B279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Modern navigation across planetary, interplanetary, and relativistic domains requires more than conventional clock synchronization. Existing systems rely primarily on UTC and atomic clocks for terrestrial precision, while relativistic travel introduces proper-time divergence, gravitational dilation, and frame-dependent synchronization problems. This paper proposes an expanded framework called Cosmic Standard Time (CST), integrating Atomic Clock Time, Universal Coordinated Time (UTC), relativistic proper time, and an Interstellar Reference Clock into a unified navigational architecture.</w:t>
      </w:r>
    </w:p>
    <w:p w14:paraId="039AC312"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By comparing ancient astronomical calendars such as the Maya Long Count, the Metonic Cycle, and the Antikythera Mechanism with modern atomic standards, this work proposes that cosmic periodicity may be represented as a measurable synchronization field rather than only a historical calendar system. CST is introduced as a control-layer for spacetime navigation, allowing synchronization between Earth-based reference frames and spacecraft operating under relativistic conditions.</w:t>
      </w:r>
    </w:p>
    <w:p w14:paraId="633A3CA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framework further extends Einstein’s mass-energy relation by introducing synchronization and curvature correction factors for practical warp-field engineering and interstellar trajectory control.</w:t>
      </w:r>
    </w:p>
    <w:p w14:paraId="4C3534C5"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Introduction</w:t>
      </w:r>
    </w:p>
    <w:p w14:paraId="30365790"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Human civilization has always relied on timekeeping for survival, agriculture, navigation, and astronomy. Ancient systems such as the Maya calendar, Egyptian stellar observations, Stonehenge alignments, and the Antikythera Mechanism demonstrate that early civilizations tracked cosmic periodicity with extraordinary precision.</w:t>
      </w:r>
    </w:p>
    <w:p w14:paraId="2FC9FBAA"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Modern physics replaced observational cycles with atomic precision through the cesium-133 transition frequency, defining the SI second as exactly 9,192,631,770 oscillations of cesium radiation (BIPM, 2019). However, for relativistic travel, atomic precision alone is insufficient because time itself becomes frame-dependent under General Relativity.</w:t>
      </w:r>
    </w:p>
    <w:p w14:paraId="72C8861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Warp-drive discussions often focus only on spacetime curvature through the Einstein Field Equations, but practical navigation also requires synchronization of clocks across gravitational gradients and velocity regimes. This paper proposes that warp engineering must be treated as a clock synchronization problem before it becomes a propulsion problem.</w:t>
      </w:r>
    </w:p>
    <w:p w14:paraId="27C0BE9C"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19E5D145"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4D36271E"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11CE132E" w14:textId="2099F419"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lastRenderedPageBreak/>
        <w:t>Thus, four clocks are introduced:</w:t>
      </w:r>
    </w:p>
    <w:p w14:paraId="29C27CF1"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b/>
          <w:bCs/>
          <w:sz w:val="24"/>
          <w:szCs w:val="24"/>
        </w:rPr>
        <w:t>Atomic Clock</w:t>
      </w:r>
      <w:r w:rsidRPr="009118F3">
        <w:rPr>
          <w:rFonts w:ascii="Times New Roman" w:eastAsia="Times New Roman" w:hAnsi="Times New Roman" w:cs="Times New Roman"/>
          <w:sz w:val="24"/>
          <w:szCs w:val="24"/>
        </w:rPr>
        <w:t xml:space="preserve"> — local precision standard</w:t>
      </w:r>
    </w:p>
    <w:p w14:paraId="253FE9F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b/>
          <w:bCs/>
          <w:sz w:val="24"/>
          <w:szCs w:val="24"/>
        </w:rPr>
        <w:t>UTC Clock</w:t>
      </w:r>
      <w:r w:rsidRPr="009118F3">
        <w:rPr>
          <w:rFonts w:ascii="Times New Roman" w:eastAsia="Times New Roman" w:hAnsi="Times New Roman" w:cs="Times New Roman"/>
          <w:sz w:val="24"/>
          <w:szCs w:val="24"/>
        </w:rPr>
        <w:t xml:space="preserve"> — Earth civil synchronization standard</w:t>
      </w:r>
    </w:p>
    <w:p w14:paraId="200070D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b/>
          <w:bCs/>
          <w:sz w:val="24"/>
          <w:szCs w:val="24"/>
        </w:rPr>
        <w:t>CST Clock</w:t>
      </w:r>
      <w:r w:rsidRPr="009118F3">
        <w:rPr>
          <w:rFonts w:ascii="Times New Roman" w:eastAsia="Times New Roman" w:hAnsi="Times New Roman" w:cs="Times New Roman"/>
          <w:sz w:val="24"/>
          <w:szCs w:val="24"/>
        </w:rPr>
        <w:t xml:space="preserve"> — curvature synchronization control layer</w:t>
      </w:r>
    </w:p>
    <w:p w14:paraId="4BF5D174"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b/>
          <w:bCs/>
          <w:sz w:val="24"/>
          <w:szCs w:val="24"/>
        </w:rPr>
        <w:t>Interstellar Clock</w:t>
      </w:r>
      <w:r w:rsidRPr="009118F3">
        <w:rPr>
          <w:rFonts w:ascii="Times New Roman" w:eastAsia="Times New Roman" w:hAnsi="Times New Roman" w:cs="Times New Roman"/>
          <w:sz w:val="24"/>
          <w:szCs w:val="24"/>
        </w:rPr>
        <w:t xml:space="preserve"> — deep-space navigation reference frame</w:t>
      </w:r>
    </w:p>
    <w:p w14:paraId="307137D1"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Together these form the operational basis for Cosmic Standard Time.</w:t>
      </w:r>
    </w:p>
    <w:p w14:paraId="02771D41"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Foundational Equation Stack</w:t>
      </w:r>
    </w:p>
    <w:p w14:paraId="2EA9EF4D"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physical structure begins with Einstein’s energy relation:</w:t>
      </w:r>
    </w:p>
    <w:p w14:paraId="484E28A7"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m:oMathPara>
    </w:p>
    <w:p w14:paraId="797A6AAD"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roofErr w:type="gramStart"/>
      <w:r w:rsidRPr="009118F3">
        <w:rPr>
          <w:rFonts w:ascii="Times New Roman" w:eastAsia="Times New Roman" w:hAnsi="Times New Roman" w:cs="Times New Roman"/>
          <w:sz w:val="24"/>
          <w:szCs w:val="24"/>
        </w:rPr>
        <w:t>where</w:t>
      </w:r>
      <w:proofErr w:type="gramEnd"/>
    </w:p>
    <w:p w14:paraId="685B7125"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E = total energy</w:t>
      </w:r>
    </w:p>
    <w:p w14:paraId="171093DA"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m = relativistic mass-energy equivalence</w:t>
      </w:r>
    </w:p>
    <w:p w14:paraId="7204CBE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c = speed of light</w:t>
      </w:r>
    </w:p>
    <w:p w14:paraId="3D0EBE6C"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defines the baseline energy scale.</w:t>
      </w:r>
    </w:p>
    <w:p w14:paraId="79AC11EB"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Energy density becomes</w:t>
      </w:r>
    </w:p>
    <w:p w14:paraId="593858A9"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V</m:t>
              </m:r>
            </m:den>
          </m:f>
        </m:oMath>
      </m:oMathPara>
    </w:p>
    <w:p w14:paraId="61AE21A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where ρ represents localized energy concentration responsible for curvature generation.</w:t>
      </w:r>
    </w:p>
    <w:p w14:paraId="704D46AC"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stress-energy tensor governs spacetime structure:</w:t>
      </w:r>
    </w:p>
    <w:p w14:paraId="5F9D3A3B"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2DCFCC1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where spacetime geometry responds to energy, momentum, pressure, and tension.</w:t>
      </w:r>
    </w:p>
    <w:p w14:paraId="17D656D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Proper time for a moving observer becomes</w:t>
      </w:r>
    </w:p>
    <w:p w14:paraId="14CE5BF0"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oMath>
      </m:oMathPara>
    </w:p>
    <w:p w14:paraId="4BA9B3E5"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defines the measurable difference between ship time and Earth time.</w:t>
      </w:r>
    </w:p>
    <w:p w14:paraId="366E3FFD" w14:textId="77777777" w:rsid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p>
    <w:p w14:paraId="48672A63" w14:textId="3187810B"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lastRenderedPageBreak/>
        <w:t>Clock Synchronization Framework</w:t>
      </w:r>
    </w:p>
    <w:p w14:paraId="38D1FBC5"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Each observer measures time differently:</w:t>
      </w:r>
    </w:p>
    <w:p w14:paraId="6AB48C4E"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m:t>
              </m:r>
            </m:sub>
          </m:sSub>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dτ</m:t>
          </m:r>
          <m:r>
            <w:rPr>
              <w:rFonts w:ascii="Cambria Math" w:eastAsia="Times New Roman" w:hAnsi="Cambria Math" w:cs="Times New Roman"/>
              <w:i/>
              <w:sz w:val="24"/>
              <w:szCs w:val="24"/>
            </w:rPr>
            <w:br/>
          </m:r>
        </m:oMath>
      </m:oMathPara>
    </w:p>
    <w:p w14:paraId="2B77811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where γᵢ includes velocity and gravitational dilation factors.</w:t>
      </w:r>
    </w:p>
    <w:p w14:paraId="229F8F9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Synchronization error is defined as</w:t>
      </w:r>
    </w:p>
    <w:p w14:paraId="5E547DF4"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6A70DB45"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where </w:t>
      </w:r>
      <w:proofErr w:type="spellStart"/>
      <w:r w:rsidRPr="009118F3">
        <w:rPr>
          <w:rFonts w:ascii="Times New Roman" w:eastAsia="Times New Roman" w:hAnsi="Times New Roman" w:cs="Times New Roman"/>
          <w:sz w:val="24"/>
          <w:szCs w:val="24"/>
        </w:rPr>
        <w:t>Tref</w:t>
      </w:r>
      <w:proofErr w:type="spellEnd"/>
      <w:r w:rsidRPr="009118F3">
        <w:rPr>
          <w:rFonts w:ascii="Times New Roman" w:eastAsia="Times New Roman" w:hAnsi="Times New Roman" w:cs="Times New Roman"/>
          <w:sz w:val="24"/>
          <w:szCs w:val="24"/>
        </w:rPr>
        <w:t xml:space="preserve"> is the selected Earth reference, usually UTC or Atomic Time.</w:t>
      </w:r>
    </w:p>
    <w:p w14:paraId="0698D9E9"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CST control objective becomes</w:t>
      </w:r>
    </w:p>
    <w:p w14:paraId="30EC6C14"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78FB0A16"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transforms warp navigation into a minimization problem where proper-time drift is actively corrected.</w:t>
      </w:r>
    </w:p>
    <w:p w14:paraId="51BEF17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Rather than asking how to move faster than light, CST asks how to preserve synchronization while curvature changes effective distance.</w:t>
      </w:r>
    </w:p>
    <w:p w14:paraId="25434039"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Expansion of Einstein’s Equation</w:t>
      </w:r>
    </w:p>
    <w:p w14:paraId="20038F32"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original document proposed</w:t>
      </w:r>
    </w:p>
    <w:p w14:paraId="43992564"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Eₛ = m × (c × </w:t>
      </w:r>
      <w:proofErr w:type="gramStart"/>
      <w:r w:rsidRPr="009118F3">
        <w:rPr>
          <w:rFonts w:ascii="Times New Roman" w:eastAsia="Times New Roman" w:hAnsi="Times New Roman" w:cs="Times New Roman"/>
          <w:sz w:val="24"/>
          <w:szCs w:val="24"/>
        </w:rPr>
        <w:t>CSTᵣ)²</w:t>
      </w:r>
      <w:proofErr w:type="gramEnd"/>
      <w:r w:rsidRPr="009118F3">
        <w:rPr>
          <w:rFonts w:ascii="Times New Roman" w:eastAsia="Times New Roman" w:hAnsi="Times New Roman" w:cs="Times New Roman"/>
          <w:sz w:val="24"/>
          <w:szCs w:val="24"/>
        </w:rPr>
        <w:br/>
        <w:t xml:space="preserve">Eₜ = (m / ρ) × (c × </w:t>
      </w:r>
      <w:proofErr w:type="gramStart"/>
      <w:r w:rsidRPr="009118F3">
        <w:rPr>
          <w:rFonts w:ascii="Times New Roman" w:eastAsia="Times New Roman" w:hAnsi="Times New Roman" w:cs="Times New Roman"/>
          <w:sz w:val="24"/>
          <w:szCs w:val="24"/>
        </w:rPr>
        <w:t>Tᴄsᴛ)²</w:t>
      </w:r>
      <w:proofErr w:type="gramEnd"/>
    </w:p>
    <w:p w14:paraId="653C37F4" w14:textId="33F9993A"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These require dimensional correction for physical </w:t>
      </w:r>
      <w:r w:rsidRPr="009118F3">
        <w:rPr>
          <w:rFonts w:ascii="Times New Roman" w:eastAsia="Times New Roman" w:hAnsi="Times New Roman" w:cs="Times New Roman"/>
          <w:sz w:val="24"/>
          <w:szCs w:val="24"/>
        </w:rPr>
        <w:t>consistency.</w:t>
      </w:r>
    </w:p>
    <w:p w14:paraId="523B888C"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A more realistic formulation is</w:t>
      </w:r>
    </w:p>
    <w:p w14:paraId="50F234D5"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eff</m:t>
              </m:r>
            </m:sub>
          </m:sSub>
          <m:r>
            <w:rPr>
              <w:rFonts w:ascii="Cambria Math" w:eastAsia="Times New Roman" w:hAnsi="Cambria Math" w:cs="Times New Roman"/>
              <w:sz w:val="24"/>
              <w:szCs w:val="24"/>
            </w:rPr>
            <m:t>=m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w:br/>
          </m:r>
        </m:oMath>
      </m:oMathPara>
    </w:p>
    <w:p w14:paraId="76E19E46"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roofErr w:type="gramStart"/>
      <w:r w:rsidRPr="009118F3">
        <w:rPr>
          <w:rFonts w:ascii="Times New Roman" w:eastAsia="Times New Roman" w:hAnsi="Times New Roman" w:cs="Times New Roman"/>
          <w:sz w:val="24"/>
          <w:szCs w:val="24"/>
        </w:rPr>
        <w:t>where</w:t>
      </w:r>
      <w:proofErr w:type="gramEnd"/>
    </w:p>
    <w:p w14:paraId="26CA2EFE"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15A44E59"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5100FDAD"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54781ED8" w14:textId="77777777" w:rsid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p>
    <w:p w14:paraId="4881EDE6" w14:textId="2E10C591"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lastRenderedPageBreak/>
        <w:t>ΓCST = synchronization curvature factor</w:t>
      </w:r>
    </w:p>
    <w:p w14:paraId="3B905DC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and</w:t>
      </w:r>
    </w:p>
    <w:p w14:paraId="2C6B8C17"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=f(</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g,ϕ)</m:t>
          </m:r>
          <m:r>
            <w:rPr>
              <w:rFonts w:ascii="Cambria Math" w:eastAsia="Times New Roman" w:hAnsi="Cambria Math" w:cs="Times New Roman"/>
              <w:i/>
              <w:sz w:val="24"/>
              <w:szCs w:val="24"/>
            </w:rPr>
            <w:br/>
          </m:r>
        </m:oMath>
      </m:oMathPara>
    </w:p>
    <w:p w14:paraId="34EA298B"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with</w:t>
      </w:r>
    </w:p>
    <w:p w14:paraId="1648958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ΔT = synchronization drift</w:t>
      </w:r>
    </w:p>
    <w:p w14:paraId="799C7829"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Cambria Math" w:eastAsia="Times New Roman" w:hAnsi="Cambria Math" w:cs="Cambria Math"/>
          <w:sz w:val="24"/>
          <w:szCs w:val="24"/>
        </w:rPr>
        <w:t>∇</w:t>
      </w:r>
      <w:r w:rsidRPr="009118F3">
        <w:rPr>
          <w:rFonts w:ascii="Times New Roman" w:eastAsia="Times New Roman" w:hAnsi="Times New Roman" w:cs="Times New Roman"/>
          <w:sz w:val="24"/>
          <w:szCs w:val="24"/>
        </w:rPr>
        <w:t>g = gravitational gradient</w:t>
      </w:r>
    </w:p>
    <w:p w14:paraId="02BAB83B"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φ = curvature phase alignment</w:t>
      </w:r>
    </w:p>
    <w:p w14:paraId="503A624F"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preserves dimensional consistency while allowing CST corrections to act as a dimensionless relativistic multiplier rather than altering c itself.</w:t>
      </w:r>
    </w:p>
    <w:p w14:paraId="6ADA575A"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is significantly stronger for academic review because it remains compatible with relativity instead of replacing it.</w:t>
      </w:r>
    </w:p>
    <w:p w14:paraId="555602B1"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Atomic Clock as Distance Measurement</w:t>
      </w:r>
    </w:p>
    <w:p w14:paraId="5FB228D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Since</w:t>
      </w:r>
    </w:p>
    <w:p w14:paraId="50D50F67"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c=299,792,458</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s</m:t>
          </m:r>
          <m:r>
            <w:rPr>
              <w:rFonts w:ascii="Cambria Math" w:eastAsia="Times New Roman" w:hAnsi="Cambria Math" w:cs="Times New Roman"/>
              <w:i/>
              <w:sz w:val="24"/>
              <w:szCs w:val="24"/>
            </w:rPr>
            <w:br/>
          </m:r>
        </m:oMath>
      </m:oMathPara>
    </w:p>
    <w:p w14:paraId="18BCB9B6"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and cesium defines the second by</w:t>
      </w:r>
    </w:p>
    <w:p w14:paraId="1B2D460C"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=9,192,631,770</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Hz</m:t>
          </m:r>
          <m:r>
            <w:rPr>
              <w:rFonts w:ascii="Cambria Math" w:eastAsia="Times New Roman" w:hAnsi="Cambria Math" w:cs="Times New Roman"/>
              <w:i/>
              <w:sz w:val="24"/>
              <w:szCs w:val="24"/>
            </w:rPr>
            <w:br/>
          </m:r>
        </m:oMath>
      </m:oMathPara>
    </w:p>
    <w:p w14:paraId="32E5066A"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one oscillation corresponds approximately to</w:t>
      </w:r>
    </w:p>
    <w:p w14:paraId="1733D1FF"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c</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Cs</m:t>
                  </m:r>
                </m:sub>
              </m:sSub>
            </m:den>
          </m:f>
          <m:r>
            <w:rPr>
              <w:rFonts w:ascii="Cambria Math" w:eastAsia="Times New Roman" w:hAnsi="Cambria Math" w:cs="Times New Roman"/>
              <w:sz w:val="24"/>
              <w:szCs w:val="24"/>
            </w:rPr>
            <m:t>≈0.0326</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m</m:t>
          </m:r>
          <m:r>
            <w:rPr>
              <w:rFonts w:ascii="Cambria Math" w:eastAsia="Times New Roman" w:hAnsi="Cambria Math" w:cs="Times New Roman"/>
              <w:i/>
              <w:sz w:val="24"/>
              <w:szCs w:val="24"/>
            </w:rPr>
            <w:br/>
          </m:r>
        </m:oMath>
      </m:oMathPara>
    </w:p>
    <w:p w14:paraId="3A0BF409" w14:textId="31A6E551"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Thus,</w:t>
      </w:r>
      <w:r w:rsidRPr="009118F3">
        <w:rPr>
          <w:rFonts w:ascii="Times New Roman" w:eastAsia="Times New Roman" w:hAnsi="Times New Roman" w:cs="Times New Roman"/>
          <w:sz w:val="24"/>
          <w:szCs w:val="24"/>
        </w:rPr>
        <w:t xml:space="preserve"> distance may be represented by cesium oscillation counts:</w:t>
      </w:r>
    </w:p>
    <w:p w14:paraId="779DD349"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N</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Cs</m:t>
              </m:r>
            </m:sub>
          </m:sSub>
          <m:r>
            <w:rPr>
              <w:rFonts w:ascii="Cambria Math" w:eastAsia="Times New Roman" w:hAnsi="Cambria Math" w:cs="Times New Roman"/>
              <w:sz w:val="24"/>
              <w:szCs w:val="24"/>
            </w:rPr>
            <w:br/>
          </m:r>
        </m:oMath>
      </m:oMathPara>
    </w:p>
    <w:p w14:paraId="7CBF8570"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creates an “atomic ruler” for interstellar navigation, allowing position to be measured through timing rather than only geometry.</w:t>
      </w:r>
    </w:p>
    <w:p w14:paraId="16DDA540" w14:textId="77777777" w:rsid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p>
    <w:p w14:paraId="72182B9F" w14:textId="77777777" w:rsid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p>
    <w:p w14:paraId="5A6F0582" w14:textId="50193522"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lastRenderedPageBreak/>
        <w:t>Ancient Calendars and CST</w:t>
      </w:r>
    </w:p>
    <w:p w14:paraId="703334C0"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Maya Long Count, Metonic cycle, and Antikythera Mechanism show recurring synchronization between solar, lunar, and planetary cycles. Rather than treating these systems only as calendars, CST interprets them as low-resolution cosmic synchronization systems.</w:t>
      </w:r>
    </w:p>
    <w:p w14:paraId="777B927F"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hypothesis is not that ancient civilizations predicted modern astrophysics directly, but that they discovered repeating astronomical harmonics useful for large-scale timing reference.</w:t>
      </w:r>
    </w:p>
    <w:p w14:paraId="5AB00FF1"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provides the philosophical bridge between ancient cosmic clocks and modern relativistic clocks.</w:t>
      </w:r>
    </w:p>
    <w:p w14:paraId="2F60697E"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Warp Navigation Interpretation</w:t>
      </w:r>
    </w:p>
    <w:p w14:paraId="20BBD18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In Alcubierre geometry, space contracts ahead of the craft and expands behind it. Local proper time remains nearly normal while external observers measure effective superluminal displacement.</w:t>
      </w:r>
    </w:p>
    <w:p w14:paraId="6062F2B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CST adds the missing operational layer: synchronization.</w:t>
      </w:r>
    </w:p>
    <w:p w14:paraId="4F05AD1F"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goal becomes</w:t>
      </w:r>
    </w:p>
    <w:p w14:paraId="27CF4DEA" w14:textId="77777777" w:rsidR="009118F3" w:rsidRPr="009118F3" w:rsidRDefault="009118F3" w:rsidP="009118F3">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T≈0</m:t>
          </m:r>
          <m:r>
            <w:rPr>
              <w:rFonts w:ascii="Cambria Math" w:eastAsia="Times New Roman" w:hAnsi="Cambria Math" w:cs="Times New Roman"/>
              <w:i/>
              <w:sz w:val="24"/>
              <w:szCs w:val="24"/>
            </w:rPr>
            <w:br/>
          </m:r>
        </m:oMath>
      </m:oMathPara>
    </w:p>
    <w:p w14:paraId="56ECC0B4"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during the warp segment.</w:t>
      </w:r>
    </w:p>
    <w:p w14:paraId="53A9AA28" w14:textId="4A6F892C"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This means </w:t>
      </w:r>
      <w:r w:rsidRPr="009118F3">
        <w:rPr>
          <w:rFonts w:ascii="Times New Roman" w:eastAsia="Times New Roman" w:hAnsi="Times New Roman" w:cs="Times New Roman"/>
          <w:sz w:val="24"/>
          <w:szCs w:val="24"/>
        </w:rPr>
        <w:t>shipping</w:t>
      </w:r>
      <w:r w:rsidRPr="009118F3">
        <w:rPr>
          <w:rFonts w:ascii="Times New Roman" w:eastAsia="Times New Roman" w:hAnsi="Times New Roman" w:cs="Times New Roman"/>
          <w:sz w:val="24"/>
          <w:szCs w:val="24"/>
        </w:rPr>
        <w:t xml:space="preserve"> proper time, Earth atomic reference, and navigation time remain phase-locked despite curvature manipulation.</w:t>
      </w:r>
    </w:p>
    <w:p w14:paraId="2EF1A88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This is not faster-than-light travel through local velocity, but controlled displacement through synchronized curvature engineering.</w:t>
      </w:r>
    </w:p>
    <w:p w14:paraId="07DB47BF"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Testable Predictions</w:t>
      </w:r>
    </w:p>
    <w:p w14:paraId="025C11C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model produces falsifiable predictions:</w:t>
      </w:r>
    </w:p>
    <w:p w14:paraId="2123ADC8"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clock drift near high-curvature field gradients</w:t>
      </w:r>
    </w:p>
    <w:p w14:paraId="70CE8FFF"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synchronization anomalies near large gravitational transitions</w:t>
      </w:r>
    </w:p>
    <w:p w14:paraId="3F771F46"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phase alignment patterns in meteor impact periodicity</w:t>
      </w:r>
    </w:p>
    <w:p w14:paraId="57F7A129"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correlations between historical anomaly events and solar-lunar harmonic convergence</w:t>
      </w:r>
    </w:p>
    <w:p w14:paraId="51EE8ED7"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Voyager Earth–Voyager 1–Voyager 2 phase triangulation as a CST reference system</w:t>
      </w:r>
    </w:p>
    <w:p w14:paraId="47EAABF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These allow CST to be tested experimentally rather than remaining purely speculative.</w:t>
      </w:r>
    </w:p>
    <w:p w14:paraId="6D672476" w14:textId="77777777" w:rsid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p>
    <w:p w14:paraId="10D4F99B" w14:textId="244E5D89"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lastRenderedPageBreak/>
        <w:t>Conclusion</w:t>
      </w:r>
    </w:p>
    <w:p w14:paraId="557869FA"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future of interstellar navigation will depend less on propulsion alone and more on precision synchronization between reference frames. Atomic clocks provide local precision, UTC provides planetary coordination, and CST provides relativistic coherence across curved spacetime.</w:t>
      </w:r>
    </w:p>
    <w:p w14:paraId="07867E48" w14:textId="6A204252"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Ancient calendars demonstrated humanity’s earliest understanding of cosmic periodicity. Modern physics now provides </w:t>
      </w:r>
      <w:r w:rsidRPr="009118F3">
        <w:rPr>
          <w:rFonts w:ascii="Times New Roman" w:eastAsia="Times New Roman" w:hAnsi="Times New Roman" w:cs="Times New Roman"/>
          <w:sz w:val="24"/>
          <w:szCs w:val="24"/>
        </w:rPr>
        <w:t>mathematical</w:t>
      </w:r>
      <w:r w:rsidRPr="009118F3">
        <w:rPr>
          <w:rFonts w:ascii="Times New Roman" w:eastAsia="Times New Roman" w:hAnsi="Times New Roman" w:cs="Times New Roman"/>
          <w:sz w:val="24"/>
          <w:szCs w:val="24"/>
        </w:rPr>
        <w:t xml:space="preserve"> tools to formalize that intuition.</w:t>
      </w:r>
    </w:p>
    <w:p w14:paraId="4DA73732"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The Cosmic Clock is therefore not merely historical symbolism, but a possible engineering framework for navigation across spacetime itself.</w:t>
      </w:r>
    </w:p>
    <w:p w14:paraId="22FD44F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Warp travel begins with timekeeping.</w:t>
      </w:r>
    </w:p>
    <w:p w14:paraId="694C9738" w14:textId="77777777" w:rsidR="009118F3" w:rsidRPr="009118F3" w:rsidRDefault="009118F3" w:rsidP="009118F3">
      <w:pPr>
        <w:spacing w:before="100" w:beforeAutospacing="1" w:after="100" w:afterAutospacing="1" w:line="240" w:lineRule="auto"/>
        <w:outlineLvl w:val="1"/>
        <w:rPr>
          <w:rFonts w:ascii="Times New Roman" w:eastAsia="Times New Roman" w:hAnsi="Times New Roman" w:cs="Times New Roman"/>
          <w:b/>
          <w:bCs/>
          <w:sz w:val="36"/>
          <w:szCs w:val="36"/>
        </w:rPr>
      </w:pPr>
      <w:r w:rsidRPr="009118F3">
        <w:rPr>
          <w:rFonts w:ascii="Times New Roman" w:eastAsia="Times New Roman" w:hAnsi="Times New Roman" w:cs="Times New Roman"/>
          <w:b/>
          <w:bCs/>
          <w:sz w:val="36"/>
          <w:szCs w:val="36"/>
        </w:rPr>
        <w:t>References</w:t>
      </w:r>
    </w:p>
    <w:p w14:paraId="3A521C1B"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 xml:space="preserve">Bureau International des </w:t>
      </w:r>
      <w:proofErr w:type="spellStart"/>
      <w:r w:rsidRPr="009118F3">
        <w:rPr>
          <w:rFonts w:ascii="Times New Roman" w:eastAsia="Times New Roman" w:hAnsi="Times New Roman" w:cs="Times New Roman"/>
          <w:sz w:val="24"/>
          <w:szCs w:val="24"/>
        </w:rPr>
        <w:t>Poids</w:t>
      </w:r>
      <w:proofErr w:type="spellEnd"/>
      <w:r w:rsidRPr="009118F3">
        <w:rPr>
          <w:rFonts w:ascii="Times New Roman" w:eastAsia="Times New Roman" w:hAnsi="Times New Roman" w:cs="Times New Roman"/>
          <w:sz w:val="24"/>
          <w:szCs w:val="24"/>
        </w:rPr>
        <w:t xml:space="preserve"> and Measures (BIPM). The International System of Units (SI). 9th Edition. 2019.</w:t>
      </w:r>
    </w:p>
    <w:p w14:paraId="7B0D0CB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Einstein, A. Relativity: The Special and General Theory. 1916.</w:t>
      </w:r>
    </w:p>
    <w:p w14:paraId="3EAD278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Misner, C. W., Thorne, K. S., Wheeler, J. A. Gravitation. W.H. Freeman. 1973.</w:t>
      </w:r>
    </w:p>
    <w:p w14:paraId="13D1A96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Alcubierre, M. The Warp Drive: Hyper-Fast Travel Within General Relativity. Classical and Quantum Gravity, 1994.</w:t>
      </w:r>
    </w:p>
    <w:p w14:paraId="6D5D9675"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Morris, M. S., Thorne, K. S. Wormholes in Spacetime and Their Use for Interstellar Travel. American Journal of Physics, 1988.</w:t>
      </w:r>
    </w:p>
    <w:p w14:paraId="3A61FADE"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Price, D. J. de Solla. Gears from the Greeks: The Antikythera Mechanism. 1974.</w:t>
      </w:r>
    </w:p>
    <w:p w14:paraId="5BE1F3EF"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Aveni, A. Empires of Time: Calendars, Clocks, and Cultures. University Press of Colorado.</w:t>
      </w:r>
    </w:p>
    <w:p w14:paraId="0657F723" w14:textId="77777777" w:rsidR="009118F3" w:rsidRPr="009118F3" w:rsidRDefault="009118F3" w:rsidP="009118F3">
      <w:pPr>
        <w:spacing w:before="100" w:beforeAutospacing="1" w:after="100" w:afterAutospacing="1" w:line="240" w:lineRule="auto"/>
        <w:rPr>
          <w:rFonts w:ascii="Times New Roman" w:eastAsia="Times New Roman" w:hAnsi="Times New Roman" w:cs="Times New Roman"/>
          <w:sz w:val="24"/>
          <w:szCs w:val="24"/>
        </w:rPr>
      </w:pPr>
      <w:r w:rsidRPr="009118F3">
        <w:rPr>
          <w:rFonts w:ascii="Times New Roman" w:eastAsia="Times New Roman" w:hAnsi="Times New Roman" w:cs="Times New Roman"/>
          <w:sz w:val="24"/>
          <w:szCs w:val="24"/>
        </w:rPr>
        <w:t>NASA Jet Propulsion Laboratory. Voyager Mission Data Archive.</w:t>
      </w:r>
    </w:p>
    <w:p w14:paraId="55F0BE53" w14:textId="5279971D" w:rsidR="003D27D0" w:rsidRDefault="003D27D0" w:rsidP="009118F3"/>
    <w:p w14:paraId="5C3FAF6D" w14:textId="77777777" w:rsidR="009118F3" w:rsidRDefault="009118F3" w:rsidP="009118F3"/>
    <w:p w14:paraId="4C9A57B9" w14:textId="77777777" w:rsidR="009118F3" w:rsidRDefault="009118F3" w:rsidP="009118F3"/>
    <w:p w14:paraId="7DC56283" w14:textId="77777777" w:rsidR="009118F3" w:rsidRDefault="009118F3" w:rsidP="009118F3"/>
    <w:p w14:paraId="655C6B33" w14:textId="77777777" w:rsidR="009118F3" w:rsidRDefault="009118F3" w:rsidP="009118F3"/>
    <w:p w14:paraId="225C8A7C" w14:textId="77777777" w:rsidR="009118F3" w:rsidRDefault="009118F3" w:rsidP="009118F3"/>
    <w:p w14:paraId="60E2D85F" w14:textId="77777777" w:rsidR="009118F3" w:rsidRDefault="009118F3" w:rsidP="009118F3"/>
    <w:p w14:paraId="2D8F3B72" w14:textId="77777777" w:rsidR="009118F3" w:rsidRDefault="009118F3" w:rsidP="009118F3"/>
    <w:p w14:paraId="6D07D138" w14:textId="77777777" w:rsidR="009118F3" w:rsidRDefault="009118F3" w:rsidP="009118F3"/>
    <w:p w14:paraId="698EEEE3" w14:textId="6E21A186" w:rsidR="009118F3" w:rsidRPr="009118F3" w:rsidRDefault="009118F3" w:rsidP="009118F3">
      <w:r>
        <w:rPr>
          <w:noProof/>
        </w:rPr>
        <w:lastRenderedPageBreak/>
        <w:drawing>
          <wp:inline distT="0" distB="0" distL="0" distR="0" wp14:anchorId="1B3E83A6" wp14:editId="11478862">
            <wp:extent cx="6858000" cy="4572000"/>
            <wp:effectExtent l="0" t="0" r="0" b="0"/>
            <wp:docPr id="19609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7500" name="Picture 196097500"/>
                    <pic:cNvPicPr/>
                  </pic:nvPicPr>
                  <pic:blipFill>
                    <a:blip r:embed="rId6"/>
                    <a:stretch>
                      <a:fillRect/>
                    </a:stretch>
                  </pic:blipFill>
                  <pic:spPr>
                    <a:xfrm>
                      <a:off x="0" y="0"/>
                      <a:ext cx="6858000" cy="4572000"/>
                    </a:xfrm>
                    <a:prstGeom prst="rect">
                      <a:avLst/>
                    </a:prstGeom>
                  </pic:spPr>
                </pic:pic>
              </a:graphicData>
            </a:graphic>
          </wp:inline>
        </w:drawing>
      </w:r>
    </w:p>
    <w:sectPr w:rsidR="009118F3" w:rsidRPr="009118F3" w:rsidSect="00A332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565116">
    <w:abstractNumId w:val="8"/>
  </w:num>
  <w:num w:numId="2" w16cid:durableId="2085106255">
    <w:abstractNumId w:val="6"/>
  </w:num>
  <w:num w:numId="3" w16cid:durableId="1056049477">
    <w:abstractNumId w:val="5"/>
  </w:num>
  <w:num w:numId="4" w16cid:durableId="1157186051">
    <w:abstractNumId w:val="4"/>
  </w:num>
  <w:num w:numId="5" w16cid:durableId="1017002090">
    <w:abstractNumId w:val="7"/>
  </w:num>
  <w:num w:numId="6" w16cid:durableId="348678281">
    <w:abstractNumId w:val="3"/>
  </w:num>
  <w:num w:numId="7" w16cid:durableId="2047362728">
    <w:abstractNumId w:val="2"/>
  </w:num>
  <w:num w:numId="8" w16cid:durableId="1486357682">
    <w:abstractNumId w:val="1"/>
  </w:num>
  <w:num w:numId="9" w16cid:durableId="202519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137"/>
    <w:rsid w:val="003D27D0"/>
    <w:rsid w:val="009118F3"/>
    <w:rsid w:val="00A33215"/>
    <w:rsid w:val="00AA1D8D"/>
    <w:rsid w:val="00B47730"/>
    <w:rsid w:val="00CB0664"/>
    <w:rsid w:val="00F672A5"/>
    <w:rsid w:val="00F97A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9A010"/>
  <w14:defaultImageDpi w14:val="300"/>
  <w15:docId w15:val="{119D2B36-B124-4DDC-AB28-6191252D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2026-04-24T19:31:00Z</dcterms:modified>
  <cp:category/>
</cp:coreProperties>
</file>