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33B57" w14:textId="6F425175" w:rsidR="000E5F82" w:rsidRPr="000E5F82" w:rsidRDefault="000E5F82" w:rsidP="000E5F82">
      <w:pPr>
        <w:spacing w:before="100" w:beforeAutospacing="1" w:after="100" w:afterAutospacing="1" w:line="240" w:lineRule="auto"/>
        <w:outlineLvl w:val="1"/>
        <w:rPr>
          <w:rFonts w:ascii="Times New Roman" w:eastAsia="Times New Roman" w:hAnsi="Times New Roman" w:cs="Times New Roman"/>
          <w:b/>
          <w:bCs/>
          <w:sz w:val="36"/>
          <w:szCs w:val="36"/>
        </w:rPr>
      </w:pPr>
      <w:r w:rsidRPr="000E5F82">
        <w:rPr>
          <w:rFonts w:ascii="Times New Roman" w:eastAsia="Times New Roman" w:hAnsi="Times New Roman" w:cs="Times New Roman"/>
          <w:b/>
          <w:bCs/>
          <w:sz w:val="36"/>
          <w:szCs w:val="36"/>
        </w:rPr>
        <w:t xml:space="preserve">Reentry </w:t>
      </w:r>
      <w:r>
        <w:rPr>
          <w:rFonts w:ascii="Times New Roman" w:eastAsia="Times New Roman" w:hAnsi="Times New Roman" w:cs="Times New Roman"/>
          <w:b/>
          <w:bCs/>
          <w:sz w:val="36"/>
          <w:szCs w:val="36"/>
        </w:rPr>
        <w:t xml:space="preserve">Go/No Go </w:t>
      </w:r>
      <w:r w:rsidRPr="000E5F82">
        <w:rPr>
          <w:rFonts w:ascii="Times New Roman" w:eastAsia="Times New Roman" w:hAnsi="Times New Roman" w:cs="Times New Roman"/>
          <w:b/>
          <w:bCs/>
          <w:sz w:val="36"/>
          <w:szCs w:val="36"/>
        </w:rPr>
        <w:t>Dynamics and Exit Analogy in Hypersonic Flight</w:t>
      </w:r>
    </w:p>
    <w:p w14:paraId="77787A74"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This document examines the physical distinction between exiting Earth and reentering the atmosphere, reformulating the problem through a control-based framework that integrates classical hypersonic flow physics with a timing-synchronization layer. The objective is not to replace established aerodynamic and thermodynamic principles, but to extend them by introducing a structured interpretation of flow interaction, shock behavior, and synchronization during high-velocity transitions, consistent with established aerospace literature in NASA technical reports and hypersonic flow studies.</w:t>
      </w:r>
    </w:p>
    <w:p w14:paraId="63FEAC19" w14:textId="77777777" w:rsidR="000E5F82" w:rsidRPr="000E5F82" w:rsidRDefault="000E5F82" w:rsidP="000E5F82">
      <w:pPr>
        <w:spacing w:before="100" w:beforeAutospacing="1" w:after="100" w:afterAutospacing="1" w:line="240" w:lineRule="auto"/>
        <w:outlineLvl w:val="1"/>
        <w:rPr>
          <w:rFonts w:ascii="Times New Roman" w:eastAsia="Times New Roman" w:hAnsi="Times New Roman" w:cs="Times New Roman"/>
          <w:b/>
          <w:bCs/>
          <w:sz w:val="36"/>
          <w:szCs w:val="36"/>
        </w:rPr>
      </w:pPr>
      <w:r w:rsidRPr="000E5F82">
        <w:rPr>
          <w:rFonts w:ascii="Times New Roman" w:eastAsia="Times New Roman" w:hAnsi="Times New Roman" w:cs="Times New Roman"/>
          <w:b/>
          <w:bCs/>
          <w:sz w:val="36"/>
          <w:szCs w:val="36"/>
        </w:rPr>
        <w:t>Orbital Velocity and Reentry Conditions</w:t>
      </w:r>
    </w:p>
    <w:p w14:paraId="3C1D33F1"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Any vehicle in low Earth orbit must maintain a velocity on the order of orbital speed to remain gravitationally bound without descending. For Earth, this velocity is approximately</w:t>
      </w:r>
    </w:p>
    <w:p w14:paraId="475E7DDD" w14:textId="77777777" w:rsidR="000E5F82" w:rsidRPr="000E5F82" w:rsidRDefault="00000000" w:rsidP="000E5F82">
      <w:pPr>
        <w:spacing w:before="100" w:beforeAutospacing="1" w:after="100" w:afterAutospacing="1" w:line="24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orbit</m:t>
              </m:r>
            </m:sub>
          </m:sSub>
          <m:r>
            <w:rPr>
              <w:rFonts w:ascii="Cambria Math" w:eastAsia="Times New Roman" w:hAnsi="Cambria Math" w:cs="Times New Roman"/>
              <w:sz w:val="24"/>
              <w:szCs w:val="24"/>
            </w:rPr>
            <m:t>≈7.8</m:t>
          </m:r>
          <m:r>
            <m:rPr>
              <m:nor/>
            </m:rPr>
            <w:rPr>
              <w:rFonts w:ascii="Times New Roman" w:eastAsia="Times New Roman" w:hAnsi="Times New Roman" w:cs="Times New Roman"/>
              <w:sz w:val="24"/>
              <w:szCs w:val="24"/>
            </w:rPr>
            <m:t> km/s</m:t>
          </m:r>
          <m:r>
            <w:rPr>
              <w:rFonts w:ascii="Cambria Math" w:eastAsia="Times New Roman" w:hAnsi="Cambria Math" w:cs="Times New Roman"/>
              <w:sz w:val="24"/>
              <w:szCs w:val="24"/>
            </w:rPr>
            <m:t>≈</m:t>
          </m:r>
          <m:r>
            <m:rPr>
              <m:nor/>
            </m:rPr>
            <w:rPr>
              <w:rFonts w:ascii="Times New Roman" w:eastAsia="Times New Roman" w:hAnsi="Times New Roman" w:cs="Times New Roman"/>
              <w:sz w:val="24"/>
              <w:szCs w:val="24"/>
            </w:rPr>
            <m:t>Mach 25</m:t>
          </m:r>
        </m:oMath>
      </m:oMathPara>
    </w:p>
    <w:p w14:paraId="0F0F74E9"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This value is consistent with orbital mechanics derived from Newtonian gravity and confirmed through spacecraft operations such as the Space Shuttle program and satellite motion models described in Fundamentals of Astrodynamics. As a result, reentry begins at hypersonic velocities near Mach 25 and decelerates through lower Mach regimes as atmospheric density increases.</w:t>
      </w:r>
    </w:p>
    <w:p w14:paraId="5F04B827" w14:textId="77777777" w:rsidR="000E5F82" w:rsidRPr="000E5F82" w:rsidRDefault="000E5F82" w:rsidP="000E5F82">
      <w:pPr>
        <w:spacing w:before="100" w:beforeAutospacing="1" w:after="100" w:afterAutospacing="1" w:line="240" w:lineRule="auto"/>
        <w:outlineLvl w:val="1"/>
        <w:rPr>
          <w:rFonts w:ascii="Times New Roman" w:eastAsia="Times New Roman" w:hAnsi="Times New Roman" w:cs="Times New Roman"/>
          <w:b/>
          <w:bCs/>
          <w:sz w:val="36"/>
          <w:szCs w:val="36"/>
        </w:rPr>
      </w:pPr>
      <w:r w:rsidRPr="000E5F82">
        <w:rPr>
          <w:rFonts w:ascii="Times New Roman" w:eastAsia="Times New Roman" w:hAnsi="Times New Roman" w:cs="Times New Roman"/>
          <w:b/>
          <w:bCs/>
          <w:sz w:val="36"/>
          <w:szCs w:val="36"/>
        </w:rPr>
        <w:t>Atmospheric Exit Versus Reentry</w:t>
      </w:r>
    </w:p>
    <w:p w14:paraId="5319A222"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The physical environment during ascent differs fundamentally from reentry. During ascent, a vehicle transitions from dense air to near vacuum, producing decreasing aerodynamic resistance and reduced compressive effects. This behavior is described in classical compressible flow theory such as Modern Compressible Flow.</w:t>
      </w:r>
    </w:p>
    <w:p w14:paraId="196DD6C2" w14:textId="77777777" w:rsidR="000E5F82" w:rsidRPr="000E5F82" w:rsidRDefault="000E5F82" w:rsidP="000E5F82">
      <w:pPr>
        <w:spacing w:after="0" w:line="240" w:lineRule="auto"/>
        <w:jc w:val="center"/>
        <w:rPr>
          <w:rFonts w:ascii="Times New Roman" w:eastAsia="Times New Roman" w:hAnsi="Times New Roman" w:cs="Times New Roman"/>
          <w:sz w:val="24"/>
          <w:szCs w:val="24"/>
        </w:rPr>
      </w:pPr>
      <w:r w:rsidRPr="000E5F82">
        <w:rPr>
          <w:rFonts w:ascii="Times New Roman" w:eastAsia="Times New Roman" w:hAnsi="Times New Roman" w:cs="Times New Roman"/>
          <w:noProof/>
          <w:sz w:val="24"/>
          <w:szCs w:val="24"/>
        </w:rPr>
        <w:drawing>
          <wp:inline distT="0" distB="0" distL="0" distR="0" wp14:anchorId="629074A6" wp14:editId="1610004E">
            <wp:extent cx="3490436" cy="1994535"/>
            <wp:effectExtent l="0" t="0" r="0" b="5715"/>
            <wp:docPr id="2836931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495370" cy="1997354"/>
                    </a:xfrm>
                    <a:prstGeom prst="rect">
                      <a:avLst/>
                    </a:prstGeom>
                    <a:noFill/>
                    <a:ln>
                      <a:noFill/>
                    </a:ln>
                  </pic:spPr>
                </pic:pic>
              </a:graphicData>
            </a:graphic>
          </wp:inline>
        </w:drawing>
      </w:r>
    </w:p>
    <w:p w14:paraId="25D4933D" w14:textId="77777777" w:rsidR="000E5F82" w:rsidRDefault="000E5F82" w:rsidP="000E5F82">
      <w:pPr>
        <w:spacing w:after="0" w:line="240" w:lineRule="auto"/>
        <w:jc w:val="center"/>
        <w:rPr>
          <w:rFonts w:ascii="Times New Roman" w:eastAsia="Times New Roman" w:hAnsi="Times New Roman" w:cs="Times New Roman"/>
          <w:sz w:val="24"/>
          <w:szCs w:val="24"/>
        </w:rPr>
      </w:pPr>
      <w:r w:rsidRPr="000E5F82">
        <w:rPr>
          <w:rFonts w:ascii="Times New Roman" w:eastAsia="Times New Roman" w:hAnsi="Times New Roman" w:cs="Times New Roman"/>
          <w:noProof/>
          <w:sz w:val="24"/>
          <w:szCs w:val="24"/>
        </w:rPr>
        <w:lastRenderedPageBreak/>
        <w:drawing>
          <wp:inline distT="0" distB="0" distL="0" distR="0" wp14:anchorId="2BC1A5F2" wp14:editId="18AEB27B">
            <wp:extent cx="5448300" cy="2842895"/>
            <wp:effectExtent l="0" t="0" r="0" b="0"/>
            <wp:docPr id="5470215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59801" cy="2848896"/>
                    </a:xfrm>
                    <a:prstGeom prst="rect">
                      <a:avLst/>
                    </a:prstGeom>
                    <a:noFill/>
                    <a:ln>
                      <a:noFill/>
                    </a:ln>
                  </pic:spPr>
                </pic:pic>
              </a:graphicData>
            </a:graphic>
          </wp:inline>
        </w:drawing>
      </w:r>
    </w:p>
    <w:p w14:paraId="3EC83E22" w14:textId="77777777" w:rsidR="000E5F82" w:rsidRPr="000E5F82" w:rsidRDefault="000E5F82" w:rsidP="000E5F82">
      <w:pPr>
        <w:spacing w:after="0" w:line="240" w:lineRule="auto"/>
        <w:jc w:val="center"/>
        <w:rPr>
          <w:rFonts w:ascii="Times New Roman" w:eastAsia="Times New Roman" w:hAnsi="Times New Roman" w:cs="Times New Roman"/>
          <w:sz w:val="24"/>
          <w:szCs w:val="24"/>
        </w:rPr>
      </w:pPr>
    </w:p>
    <w:p w14:paraId="67215EEE" w14:textId="77777777" w:rsidR="000E5F82" w:rsidRPr="000E5F82" w:rsidRDefault="000E5F82" w:rsidP="000E5F82">
      <w:pPr>
        <w:spacing w:after="0" w:line="240" w:lineRule="auto"/>
        <w:jc w:val="center"/>
        <w:rPr>
          <w:rFonts w:ascii="Times New Roman" w:eastAsia="Times New Roman" w:hAnsi="Times New Roman" w:cs="Times New Roman"/>
          <w:sz w:val="24"/>
          <w:szCs w:val="24"/>
        </w:rPr>
      </w:pPr>
      <w:r w:rsidRPr="000E5F82">
        <w:rPr>
          <w:rFonts w:ascii="Times New Roman" w:eastAsia="Times New Roman" w:hAnsi="Times New Roman" w:cs="Times New Roman"/>
          <w:noProof/>
          <w:sz w:val="24"/>
          <w:szCs w:val="24"/>
        </w:rPr>
        <w:drawing>
          <wp:inline distT="0" distB="0" distL="0" distR="0" wp14:anchorId="2E70AA3C" wp14:editId="306A7E36">
            <wp:extent cx="5467192" cy="3075072"/>
            <wp:effectExtent l="0" t="0" r="635"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8206" cy="3086892"/>
                    </a:xfrm>
                    <a:prstGeom prst="rect">
                      <a:avLst/>
                    </a:prstGeom>
                    <a:noFill/>
                    <a:ln>
                      <a:noFill/>
                    </a:ln>
                  </pic:spPr>
                </pic:pic>
              </a:graphicData>
            </a:graphic>
          </wp:inline>
        </w:drawing>
      </w:r>
    </w:p>
    <w:p w14:paraId="0643AD27" w14:textId="2C2ADB7A" w:rsidR="000E5F82" w:rsidRPr="000E5F82" w:rsidRDefault="000E5F82" w:rsidP="000E5F82">
      <w:pPr>
        <w:spacing w:after="0" w:line="240" w:lineRule="auto"/>
        <w:rPr>
          <w:rFonts w:ascii="Times New Roman" w:eastAsia="Times New Roman" w:hAnsi="Times New Roman" w:cs="Times New Roman"/>
          <w:sz w:val="24"/>
          <w:szCs w:val="24"/>
        </w:rPr>
      </w:pPr>
    </w:p>
    <w:p w14:paraId="6D5658BA"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During reentry, the inverse occurs. The vehicle moves from near vacuum into increasingly dense air at hypersonic speed. Air cannot move out of the way fast enough and compresses into a strong bow shock, producing extreme temperatures and plasma formation. This phenomenon is well documented in hypersonic aerothermodynamics and observed in missions such as Apollo Command Module and the Space Shuttle.</w:t>
      </w:r>
    </w:p>
    <w:p w14:paraId="2496D42E" w14:textId="77777777" w:rsidR="000E5F82" w:rsidRPr="000E5F82" w:rsidRDefault="000E5F82" w:rsidP="000E5F82">
      <w:pPr>
        <w:spacing w:after="0" w:line="240" w:lineRule="auto"/>
        <w:jc w:val="center"/>
        <w:rPr>
          <w:rFonts w:ascii="Times New Roman" w:eastAsia="Times New Roman" w:hAnsi="Times New Roman" w:cs="Times New Roman"/>
          <w:sz w:val="24"/>
          <w:szCs w:val="24"/>
        </w:rPr>
      </w:pPr>
      <w:r w:rsidRPr="000E5F82">
        <w:rPr>
          <w:rFonts w:ascii="Times New Roman" w:eastAsia="Times New Roman" w:hAnsi="Times New Roman" w:cs="Times New Roman"/>
          <w:noProof/>
          <w:sz w:val="24"/>
          <w:szCs w:val="24"/>
        </w:rPr>
        <w:lastRenderedPageBreak/>
        <w:drawing>
          <wp:inline distT="0" distB="0" distL="0" distR="0" wp14:anchorId="256F6802" wp14:editId="4B02B853">
            <wp:extent cx="2628900" cy="2645645"/>
            <wp:effectExtent l="0" t="0" r="0" b="254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31846" cy="2648610"/>
                    </a:xfrm>
                    <a:prstGeom prst="rect">
                      <a:avLst/>
                    </a:prstGeom>
                    <a:noFill/>
                    <a:ln>
                      <a:noFill/>
                    </a:ln>
                  </pic:spPr>
                </pic:pic>
              </a:graphicData>
            </a:graphic>
          </wp:inline>
        </w:drawing>
      </w:r>
    </w:p>
    <w:p w14:paraId="49569EE2" w14:textId="77777777" w:rsidR="000E5F82" w:rsidRDefault="000E5F82" w:rsidP="000E5F82">
      <w:pPr>
        <w:spacing w:after="0" w:line="240" w:lineRule="auto"/>
        <w:jc w:val="center"/>
        <w:rPr>
          <w:rFonts w:ascii="Times New Roman" w:eastAsia="Times New Roman" w:hAnsi="Times New Roman" w:cs="Times New Roman"/>
          <w:sz w:val="24"/>
          <w:szCs w:val="24"/>
        </w:rPr>
      </w:pPr>
      <w:r w:rsidRPr="000E5F82">
        <w:rPr>
          <w:rFonts w:ascii="Times New Roman" w:eastAsia="Times New Roman" w:hAnsi="Times New Roman" w:cs="Times New Roman"/>
          <w:noProof/>
          <w:sz w:val="24"/>
          <w:szCs w:val="24"/>
        </w:rPr>
        <w:drawing>
          <wp:inline distT="0" distB="0" distL="0" distR="0" wp14:anchorId="1AA95212" wp14:editId="33A46FC3">
            <wp:extent cx="3277664" cy="243840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89484" cy="2447193"/>
                    </a:xfrm>
                    <a:prstGeom prst="rect">
                      <a:avLst/>
                    </a:prstGeom>
                    <a:noFill/>
                    <a:ln>
                      <a:noFill/>
                    </a:ln>
                  </pic:spPr>
                </pic:pic>
              </a:graphicData>
            </a:graphic>
          </wp:inline>
        </w:drawing>
      </w:r>
    </w:p>
    <w:p w14:paraId="0C6C02A7" w14:textId="77777777" w:rsidR="000E5F82" w:rsidRPr="000E5F82" w:rsidRDefault="000E5F82" w:rsidP="000E5F82">
      <w:pPr>
        <w:spacing w:after="0" w:line="240" w:lineRule="auto"/>
        <w:jc w:val="center"/>
        <w:rPr>
          <w:rFonts w:ascii="Times New Roman" w:eastAsia="Times New Roman" w:hAnsi="Times New Roman" w:cs="Times New Roman"/>
          <w:sz w:val="24"/>
          <w:szCs w:val="24"/>
        </w:rPr>
      </w:pPr>
    </w:p>
    <w:p w14:paraId="1B1A2A75" w14:textId="77777777" w:rsidR="000E5F82" w:rsidRPr="000E5F82" w:rsidRDefault="000E5F82" w:rsidP="000E5F82">
      <w:pPr>
        <w:spacing w:after="0" w:line="240" w:lineRule="auto"/>
        <w:jc w:val="center"/>
        <w:rPr>
          <w:rFonts w:ascii="Times New Roman" w:eastAsia="Times New Roman" w:hAnsi="Times New Roman" w:cs="Times New Roman"/>
          <w:sz w:val="24"/>
          <w:szCs w:val="24"/>
        </w:rPr>
      </w:pPr>
      <w:r w:rsidRPr="000E5F82">
        <w:rPr>
          <w:rFonts w:ascii="Times New Roman" w:eastAsia="Times New Roman" w:hAnsi="Times New Roman" w:cs="Times New Roman"/>
          <w:noProof/>
          <w:sz w:val="24"/>
          <w:szCs w:val="24"/>
        </w:rPr>
        <w:drawing>
          <wp:inline distT="0" distB="0" distL="0" distR="0" wp14:anchorId="5ADF919C" wp14:editId="7A284BB5">
            <wp:extent cx="3263132" cy="205740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flipV="1">
                      <a:off x="0" y="0"/>
                      <a:ext cx="3290019" cy="2074352"/>
                    </a:xfrm>
                    <a:prstGeom prst="rect">
                      <a:avLst/>
                    </a:prstGeom>
                    <a:noFill/>
                    <a:ln>
                      <a:noFill/>
                    </a:ln>
                  </pic:spPr>
                </pic:pic>
              </a:graphicData>
            </a:graphic>
          </wp:inline>
        </w:drawing>
      </w:r>
    </w:p>
    <w:p w14:paraId="0DAA811E" w14:textId="58D16852" w:rsidR="000E5F82" w:rsidRDefault="000E5F82" w:rsidP="000E5F82">
      <w:pPr>
        <w:spacing w:after="0" w:line="240" w:lineRule="auto"/>
        <w:rPr>
          <w:rFonts w:ascii="Times New Roman" w:eastAsia="Times New Roman" w:hAnsi="Times New Roman" w:cs="Times New Roman"/>
          <w:sz w:val="24"/>
          <w:szCs w:val="24"/>
        </w:rPr>
      </w:pPr>
    </w:p>
    <w:p w14:paraId="204EA743" w14:textId="77777777" w:rsidR="000E5F82" w:rsidRDefault="000E5F82" w:rsidP="000E5F82">
      <w:pPr>
        <w:spacing w:after="0" w:line="240" w:lineRule="auto"/>
        <w:rPr>
          <w:rFonts w:ascii="Times New Roman" w:eastAsia="Times New Roman" w:hAnsi="Times New Roman" w:cs="Times New Roman"/>
          <w:sz w:val="24"/>
          <w:szCs w:val="24"/>
        </w:rPr>
      </w:pPr>
    </w:p>
    <w:p w14:paraId="5B9CDF2E" w14:textId="77777777" w:rsidR="000E5F82" w:rsidRPr="000E5F82" w:rsidRDefault="000E5F82" w:rsidP="000E5F82">
      <w:pPr>
        <w:spacing w:after="0" w:line="240" w:lineRule="auto"/>
        <w:rPr>
          <w:rFonts w:ascii="Times New Roman" w:eastAsia="Times New Roman" w:hAnsi="Times New Roman" w:cs="Times New Roman"/>
          <w:sz w:val="24"/>
          <w:szCs w:val="24"/>
        </w:rPr>
      </w:pPr>
    </w:p>
    <w:p w14:paraId="612F0FD6" w14:textId="77777777" w:rsidR="000E5F82" w:rsidRPr="000E5F82" w:rsidRDefault="000E5F82" w:rsidP="000E5F82">
      <w:pPr>
        <w:spacing w:before="100" w:beforeAutospacing="1" w:after="100" w:afterAutospacing="1" w:line="240" w:lineRule="auto"/>
        <w:outlineLvl w:val="1"/>
        <w:rPr>
          <w:rFonts w:ascii="Times New Roman" w:eastAsia="Times New Roman" w:hAnsi="Times New Roman" w:cs="Times New Roman"/>
          <w:b/>
          <w:bCs/>
          <w:sz w:val="36"/>
          <w:szCs w:val="36"/>
        </w:rPr>
      </w:pPr>
      <w:r w:rsidRPr="000E5F82">
        <w:rPr>
          <w:rFonts w:ascii="Times New Roman" w:eastAsia="Times New Roman" w:hAnsi="Times New Roman" w:cs="Times New Roman"/>
          <w:b/>
          <w:bCs/>
          <w:sz w:val="36"/>
          <w:szCs w:val="36"/>
        </w:rPr>
        <w:lastRenderedPageBreak/>
        <w:t>Hypersonic Heating Mechanism</w:t>
      </w:r>
    </w:p>
    <w:p w14:paraId="657F6B2B"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The dominant heating mechanism during reentry is compressive heating rather than simple surface friction. At hypersonic speeds, kinetic energy is converted into internal energy across the shock layer. A simplified scaling relation is</w:t>
      </w:r>
    </w:p>
    <w:p w14:paraId="643F3612"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v</m:t>
              </m:r>
            </m:e>
            <m:sup>
              <m:r>
                <w:rPr>
                  <w:rFonts w:ascii="Cambria Math" w:eastAsia="Times New Roman" w:hAnsi="Cambria Math" w:cs="Times New Roman"/>
                  <w:sz w:val="24"/>
                  <w:szCs w:val="24"/>
                </w:rPr>
                <m:t>2</m:t>
              </m:r>
            </m:sup>
          </m:sSup>
        </m:oMath>
      </m:oMathPara>
    </w:p>
    <w:p w14:paraId="680A4E7E"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This relationship is derived from compressible flow energy equations and discussed in standard references such as Hypersonic and High Temperature Gas Dynamics. The resulting temperatures can ionize the gas, forming plasma that surrounds the vehicle.</w:t>
      </w:r>
    </w:p>
    <w:p w14:paraId="6E721E93" w14:textId="77777777" w:rsidR="000E5F82" w:rsidRPr="000E5F82" w:rsidRDefault="000E5F82" w:rsidP="000E5F82">
      <w:pPr>
        <w:spacing w:before="100" w:beforeAutospacing="1" w:after="100" w:afterAutospacing="1" w:line="240" w:lineRule="auto"/>
        <w:outlineLvl w:val="1"/>
        <w:rPr>
          <w:rFonts w:ascii="Times New Roman" w:eastAsia="Times New Roman" w:hAnsi="Times New Roman" w:cs="Times New Roman"/>
          <w:b/>
          <w:bCs/>
          <w:sz w:val="36"/>
          <w:szCs w:val="36"/>
        </w:rPr>
      </w:pPr>
      <w:r w:rsidRPr="000E5F82">
        <w:rPr>
          <w:rFonts w:ascii="Times New Roman" w:eastAsia="Times New Roman" w:hAnsi="Times New Roman" w:cs="Times New Roman"/>
          <w:b/>
          <w:bCs/>
          <w:sz w:val="36"/>
          <w:szCs w:val="36"/>
        </w:rPr>
        <w:t>Shock Layer Structure and Thermal Load</w:t>
      </w:r>
    </w:p>
    <w:p w14:paraId="2B0BCF56"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The thermal load experienced by a vehicle depends on atmospheric density, velocity, and the position of the shock layer relative to the surface. A generalized relationship is</w:t>
      </w:r>
    </w:p>
    <w:p w14:paraId="7F1DD94D"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Q∝ρ</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v</m:t>
              </m:r>
            </m:e>
            <m:sup>
              <m:r>
                <w:rPr>
                  <w:rFonts w:ascii="Cambria Math" w:eastAsia="Times New Roman" w:hAnsi="Cambria Math" w:cs="Times New Roman"/>
                  <w:sz w:val="24"/>
                  <w:szCs w:val="24"/>
                </w:rPr>
                <m:t>3</m:t>
              </m:r>
            </m:sup>
          </m:sSup>
          <m:r>
            <w:rPr>
              <w:rFonts w:ascii="Cambria Math" w:eastAsia="Times New Roman" w:hAnsi="Cambria Math" w:cs="Times New Roman"/>
              <w:sz w:val="24"/>
              <w:szCs w:val="24"/>
            </w:rPr>
            <m:t>⋅f(</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shock</m:t>
              </m:r>
            </m:sub>
          </m:sSub>
          <m:r>
            <w:rPr>
              <w:rFonts w:ascii="Cambria Math" w:eastAsia="Times New Roman" w:hAnsi="Cambria Math" w:cs="Times New Roman"/>
              <w:sz w:val="24"/>
              <w:szCs w:val="24"/>
            </w:rPr>
            <m:t>)</m:t>
          </m:r>
        </m:oMath>
      </m:oMathPara>
    </w:p>
    <w:p w14:paraId="37264E9E"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 xml:space="preserve">where Q is </w:t>
      </w:r>
      <w:proofErr w:type="gramStart"/>
      <w:r w:rsidRPr="000E5F82">
        <w:rPr>
          <w:rFonts w:ascii="Times New Roman" w:eastAsia="Times New Roman" w:hAnsi="Times New Roman" w:cs="Times New Roman"/>
          <w:sz w:val="24"/>
          <w:szCs w:val="24"/>
        </w:rPr>
        <w:t>heat</w:t>
      </w:r>
      <w:proofErr w:type="gramEnd"/>
      <w:r w:rsidRPr="000E5F82">
        <w:rPr>
          <w:rFonts w:ascii="Times New Roman" w:eastAsia="Times New Roman" w:hAnsi="Times New Roman" w:cs="Times New Roman"/>
          <w:sz w:val="24"/>
          <w:szCs w:val="24"/>
        </w:rPr>
        <w:t xml:space="preserve"> flux, ρ is atmospheric density, v is velocity, and </w:t>
      </w:r>
      <w:proofErr w:type="spellStart"/>
      <w:r w:rsidRPr="000E5F82">
        <w:rPr>
          <w:rFonts w:ascii="Times New Roman" w:eastAsia="Times New Roman" w:hAnsi="Times New Roman" w:cs="Times New Roman"/>
          <w:sz w:val="24"/>
          <w:szCs w:val="24"/>
        </w:rPr>
        <w:t>d_shock</w:t>
      </w:r>
      <w:proofErr w:type="spellEnd"/>
      <w:r w:rsidRPr="000E5F82">
        <w:rPr>
          <w:rFonts w:ascii="Times New Roman" w:eastAsia="Times New Roman" w:hAnsi="Times New Roman" w:cs="Times New Roman"/>
          <w:sz w:val="24"/>
          <w:szCs w:val="24"/>
        </w:rPr>
        <w:t xml:space="preserve"> is the shock stand-off distance. Increasing this distance reduces heat transfer to the surface. This concept is consistent with blunt body theory developed in early reentry research and applied in spacecraft such as the Apollo Command Module.</w:t>
      </w:r>
    </w:p>
    <w:p w14:paraId="53A2CFC0" w14:textId="77777777" w:rsidR="000E5F82" w:rsidRPr="000E5F82" w:rsidRDefault="000E5F82" w:rsidP="000E5F82">
      <w:pPr>
        <w:spacing w:before="100" w:beforeAutospacing="1" w:after="100" w:afterAutospacing="1" w:line="240" w:lineRule="auto"/>
        <w:outlineLvl w:val="1"/>
        <w:rPr>
          <w:rFonts w:ascii="Times New Roman" w:eastAsia="Times New Roman" w:hAnsi="Times New Roman" w:cs="Times New Roman"/>
          <w:b/>
          <w:bCs/>
          <w:sz w:val="36"/>
          <w:szCs w:val="36"/>
        </w:rPr>
      </w:pPr>
      <w:r w:rsidRPr="000E5F82">
        <w:rPr>
          <w:rFonts w:ascii="Times New Roman" w:eastAsia="Times New Roman" w:hAnsi="Times New Roman" w:cs="Times New Roman"/>
          <w:b/>
          <w:bCs/>
          <w:sz w:val="36"/>
          <w:szCs w:val="36"/>
        </w:rPr>
        <w:t>Reformulation of Go and No-Go Conditions</w:t>
      </w:r>
    </w:p>
    <w:p w14:paraId="2808D61D"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Classical Go and No-Go conditions for reentry depend on trajectory angle, velocity, and thermal constraints. These are derived from flight dynamics and atmospheric entry studies in NASA guidance documents and aerodynamic analyses.</w:t>
      </w:r>
    </w:p>
    <w:p w14:paraId="760AD672"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The inverted interpretation presented here reframes the problem as a modification of local flow interaction rather than a reversal of motion. Instead of eliminating compression, the objective is to redistribute it away from the vehicle surface. A conceptual inverse condition is</w:t>
      </w:r>
    </w:p>
    <w:p w14:paraId="18D1D14C"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m:oMathPara>
        <m:oMath>
          <m:r>
            <m:rPr>
              <m:nor/>
            </m:rPr>
            <w:rPr>
              <w:rFonts w:ascii="Times New Roman" w:eastAsia="Times New Roman" w:hAnsi="Times New Roman" w:cs="Times New Roman"/>
              <w:sz w:val="24"/>
              <w:szCs w:val="24"/>
            </w:rPr>
            <m:t xml:space="preserve">Inverse Go: </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shock</m:t>
              </m:r>
            </m:sub>
          </m:sSub>
          <m:r>
            <w:rPr>
              <w:rFonts w:ascii="Cambria Math" w:eastAsia="Times New Roman" w:hAnsi="Cambria Math" w:cs="Times New Roman"/>
              <w:sz w:val="24"/>
              <w:szCs w:val="24"/>
            </w:rPr>
            <m:t>↑,</m:t>
          </m:r>
          <m:r>
            <m:rPr>
              <m:nor/>
            </m:rPr>
            <w:rPr>
              <w:rFonts w:ascii="Times New Roman" w:eastAsia="Times New Roman" w:hAnsi="Times New Roman" w:cs="Times New Roman"/>
              <w:sz w:val="24"/>
              <w:szCs w:val="24"/>
            </w:rPr>
            <m:t>  </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q</m:t>
              </m:r>
            </m:e>
            <m:sub>
              <m:r>
                <w:rPr>
                  <w:rFonts w:ascii="Cambria Math" w:eastAsia="Times New Roman" w:hAnsi="Cambria Math" w:cs="Times New Roman"/>
                  <w:sz w:val="24"/>
                  <w:szCs w:val="24"/>
                </w:rPr>
                <m:t>wall</m:t>
              </m:r>
            </m:sub>
          </m:sSub>
          <m:r>
            <w:rPr>
              <w:rFonts w:ascii="Cambria Math" w:eastAsia="Times New Roman" w:hAnsi="Cambria Math" w:cs="Times New Roman"/>
              <w:sz w:val="24"/>
              <w:szCs w:val="24"/>
            </w:rPr>
            <m:t>↓</m:t>
          </m:r>
        </m:oMath>
      </m:oMathPara>
    </w:p>
    <w:p w14:paraId="44570A14"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This interpretation aligns with research into shock control, boundary layer manipulation, and plasma flow interaction explored in hypersonic vehicle studies.</w:t>
      </w:r>
    </w:p>
    <w:p w14:paraId="5A2A8751" w14:textId="77777777" w:rsidR="000E5F82" w:rsidRPr="000E5F82" w:rsidRDefault="000E5F82" w:rsidP="000E5F82">
      <w:pPr>
        <w:spacing w:before="100" w:beforeAutospacing="1" w:after="100" w:afterAutospacing="1" w:line="240" w:lineRule="auto"/>
        <w:outlineLvl w:val="1"/>
        <w:rPr>
          <w:rFonts w:ascii="Times New Roman" w:eastAsia="Times New Roman" w:hAnsi="Times New Roman" w:cs="Times New Roman"/>
          <w:b/>
          <w:bCs/>
          <w:sz w:val="36"/>
          <w:szCs w:val="36"/>
        </w:rPr>
      </w:pPr>
      <w:r w:rsidRPr="000E5F82">
        <w:rPr>
          <w:rFonts w:ascii="Times New Roman" w:eastAsia="Times New Roman" w:hAnsi="Times New Roman" w:cs="Times New Roman"/>
          <w:b/>
          <w:bCs/>
          <w:sz w:val="36"/>
          <w:szCs w:val="36"/>
        </w:rPr>
        <w:t>Mach Regimes and Flow Behavior</w:t>
      </w:r>
    </w:p>
    <w:p w14:paraId="2C961767"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 xml:space="preserve">Reentry spans multiple Mach regimes, beginning near Mach 25 and decreasing through Mach 10 and below. Peak heating typically occurs between Mach 20 and Mach 10, where </w:t>
      </w:r>
      <w:r w:rsidRPr="000E5F82">
        <w:rPr>
          <w:rFonts w:ascii="Times New Roman" w:eastAsia="Times New Roman" w:hAnsi="Times New Roman" w:cs="Times New Roman"/>
          <w:sz w:val="24"/>
          <w:szCs w:val="24"/>
        </w:rPr>
        <w:lastRenderedPageBreak/>
        <w:t>atmospheric density becomes sufficient to sustain strong compression while velocity remains high. These regimes are documented in NASA hypersonic flight data and analyses of the Space Shuttle reentry profile.</w:t>
      </w:r>
    </w:p>
    <w:p w14:paraId="150C9041"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At Mach 10, the flow remains hypersonic but less extreme, providing a more accessible domain for studying flow control and shock-layer manipulation.</w:t>
      </w:r>
    </w:p>
    <w:p w14:paraId="1E06CC2E" w14:textId="77777777" w:rsidR="000E5F82" w:rsidRPr="000E5F82" w:rsidRDefault="000E5F82" w:rsidP="000E5F82">
      <w:pPr>
        <w:spacing w:before="100" w:beforeAutospacing="1" w:after="100" w:afterAutospacing="1" w:line="240" w:lineRule="auto"/>
        <w:outlineLvl w:val="1"/>
        <w:rPr>
          <w:rFonts w:ascii="Times New Roman" w:eastAsia="Times New Roman" w:hAnsi="Times New Roman" w:cs="Times New Roman"/>
          <w:b/>
          <w:bCs/>
          <w:sz w:val="36"/>
          <w:szCs w:val="36"/>
        </w:rPr>
      </w:pPr>
      <w:r w:rsidRPr="000E5F82">
        <w:rPr>
          <w:rFonts w:ascii="Times New Roman" w:eastAsia="Times New Roman" w:hAnsi="Times New Roman" w:cs="Times New Roman"/>
          <w:b/>
          <w:bCs/>
          <w:sz w:val="36"/>
          <w:szCs w:val="36"/>
        </w:rPr>
        <w:t>Atmospheric Skipping and Trajectory Control</w:t>
      </w:r>
    </w:p>
    <w:p w14:paraId="05D3CDE4"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Atmospheric skipping occurs when a vehicle enters at a shallow angle and generates sufficient lift to climb back into higher altitude. This condition depends on the balance between lift, weight, and entry angle, expressed as</w:t>
      </w:r>
    </w:p>
    <w:p w14:paraId="298E5AC1"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L&gt;W⋅</m:t>
          </m:r>
          <m:r>
            <m:rPr>
              <m:sty m:val="p"/>
            </m:rPr>
            <w:rPr>
              <w:rFonts w:ascii="Cambria Math" w:eastAsia="Times New Roman" w:hAnsi="Cambria Math" w:cs="Times New Roman"/>
              <w:sz w:val="24"/>
              <w:szCs w:val="24"/>
            </w:rPr>
            <m:t>sin</m:t>
          </m:r>
          <m:r>
            <w:rPr>
              <w:rFonts w:ascii="Cambria Math" w:eastAsia="Times New Roman" w:hAnsi="Cambria Math" w:cs="Times New Roman"/>
              <w:sz w:val="24"/>
              <w:szCs w:val="24"/>
            </w:rPr>
            <m:t>⁡(θ)</m:t>
          </m:r>
        </m:oMath>
      </m:oMathPara>
    </w:p>
    <w:p w14:paraId="553C570F"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This behavior has been studied in reentry trajectories of both Apollo missions and the Space Shuttle, where controlled lift allowed modulation of descent and heating.</w:t>
      </w:r>
    </w:p>
    <w:p w14:paraId="06E4B617" w14:textId="77777777" w:rsidR="000E5F82" w:rsidRPr="000E5F82" w:rsidRDefault="000E5F82" w:rsidP="000E5F82">
      <w:pPr>
        <w:spacing w:before="100" w:beforeAutospacing="1" w:after="100" w:afterAutospacing="1" w:line="240" w:lineRule="auto"/>
        <w:outlineLvl w:val="1"/>
        <w:rPr>
          <w:rFonts w:ascii="Times New Roman" w:eastAsia="Times New Roman" w:hAnsi="Times New Roman" w:cs="Times New Roman"/>
          <w:b/>
          <w:bCs/>
          <w:sz w:val="36"/>
          <w:szCs w:val="36"/>
        </w:rPr>
      </w:pPr>
      <w:r w:rsidRPr="000E5F82">
        <w:rPr>
          <w:rFonts w:ascii="Times New Roman" w:eastAsia="Times New Roman" w:hAnsi="Times New Roman" w:cs="Times New Roman"/>
          <w:b/>
          <w:bCs/>
          <w:sz w:val="36"/>
          <w:szCs w:val="36"/>
        </w:rPr>
        <w:t>Time Synchronization Framework</w:t>
      </w:r>
    </w:p>
    <w:p w14:paraId="0F2A4974"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To extend classical models, a timing-based framework is introduced. This approach defines a synchronization parameter between onboard time and a reference such as Coordinated Universal Time or atomic time standards maintained by organizations like National Institute of Standards and Technology.</w:t>
      </w:r>
    </w:p>
    <w:p w14:paraId="6450AA59" w14:textId="32949184"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The synchronization conditions are</w:t>
      </w:r>
    </w:p>
    <w:p w14:paraId="05A415EA"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ship</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ref</m:t>
              </m:r>
            </m:sub>
          </m:sSub>
        </m:oMath>
      </m:oMathPara>
    </w:p>
    <w:p w14:paraId="02E975F9"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While not a direct physical force, this parameter can function as a control variable for coordinating system responses such as plasma injection or active flow control, consistent with modern control theory applied to aerospace systems.</w:t>
      </w:r>
    </w:p>
    <w:p w14:paraId="515F7B44" w14:textId="77777777" w:rsidR="000E5F82" w:rsidRPr="000E5F82" w:rsidRDefault="000E5F82" w:rsidP="000E5F82">
      <w:pPr>
        <w:spacing w:before="100" w:beforeAutospacing="1" w:after="100" w:afterAutospacing="1" w:line="240" w:lineRule="auto"/>
        <w:outlineLvl w:val="1"/>
        <w:rPr>
          <w:rFonts w:ascii="Times New Roman" w:eastAsia="Times New Roman" w:hAnsi="Times New Roman" w:cs="Times New Roman"/>
          <w:b/>
          <w:bCs/>
          <w:sz w:val="36"/>
          <w:szCs w:val="36"/>
        </w:rPr>
      </w:pPr>
      <w:r w:rsidRPr="000E5F82">
        <w:rPr>
          <w:rFonts w:ascii="Times New Roman" w:eastAsia="Times New Roman" w:hAnsi="Times New Roman" w:cs="Times New Roman"/>
          <w:b/>
          <w:bCs/>
          <w:sz w:val="36"/>
          <w:szCs w:val="36"/>
        </w:rPr>
        <w:t>Integrated Interpretation</w:t>
      </w:r>
    </w:p>
    <w:p w14:paraId="5708C72E"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The combined framework suggests that reentry behavior can be influenced not only by trajectory and material design but also by controlled modification of the flow field and synchronization of onboard systems. Increasing shock stand-off distance and coordinating system responses may reduce peak thermal loads without violating known physical laws.</w:t>
      </w:r>
    </w:p>
    <w:p w14:paraId="5F939677" w14:textId="77777777" w:rsidR="000E5F82" w:rsidRDefault="000E5F82" w:rsidP="000E5F82">
      <w:pPr>
        <w:spacing w:before="100" w:beforeAutospacing="1" w:after="100" w:afterAutospacing="1" w:line="240" w:lineRule="auto"/>
        <w:outlineLvl w:val="1"/>
        <w:rPr>
          <w:rFonts w:ascii="Times New Roman" w:eastAsia="Times New Roman" w:hAnsi="Times New Roman" w:cs="Times New Roman"/>
          <w:b/>
          <w:bCs/>
          <w:sz w:val="36"/>
          <w:szCs w:val="36"/>
        </w:rPr>
      </w:pPr>
    </w:p>
    <w:p w14:paraId="6E60769D" w14:textId="77777777" w:rsidR="000E5F82" w:rsidRDefault="000E5F82" w:rsidP="000E5F82">
      <w:pPr>
        <w:spacing w:before="100" w:beforeAutospacing="1" w:after="100" w:afterAutospacing="1" w:line="240" w:lineRule="auto"/>
        <w:outlineLvl w:val="1"/>
        <w:rPr>
          <w:rFonts w:ascii="Times New Roman" w:eastAsia="Times New Roman" w:hAnsi="Times New Roman" w:cs="Times New Roman"/>
          <w:b/>
          <w:bCs/>
          <w:sz w:val="36"/>
          <w:szCs w:val="36"/>
        </w:rPr>
      </w:pPr>
    </w:p>
    <w:p w14:paraId="06CE1AA3" w14:textId="3C0030E4" w:rsidR="000E5F82" w:rsidRPr="000E5F82" w:rsidRDefault="000E5F82" w:rsidP="000E5F82">
      <w:pPr>
        <w:spacing w:before="100" w:beforeAutospacing="1" w:after="100" w:afterAutospacing="1" w:line="240" w:lineRule="auto"/>
        <w:outlineLvl w:val="1"/>
        <w:rPr>
          <w:rFonts w:ascii="Times New Roman" w:eastAsia="Times New Roman" w:hAnsi="Times New Roman" w:cs="Times New Roman"/>
          <w:b/>
          <w:bCs/>
          <w:sz w:val="36"/>
          <w:szCs w:val="36"/>
        </w:rPr>
      </w:pPr>
      <w:r w:rsidRPr="000E5F82">
        <w:rPr>
          <w:rFonts w:ascii="Times New Roman" w:eastAsia="Times New Roman" w:hAnsi="Times New Roman" w:cs="Times New Roman"/>
          <w:b/>
          <w:bCs/>
          <w:sz w:val="36"/>
          <w:szCs w:val="36"/>
        </w:rPr>
        <w:lastRenderedPageBreak/>
        <w:t>Conclusion</w:t>
      </w:r>
    </w:p>
    <w:p w14:paraId="2BE09A69" w14:textId="77777777" w:rsidR="000E5F82" w:rsidRPr="000E5F82" w:rsidRDefault="000E5F82" w:rsidP="000E5F82">
      <w:pPr>
        <w:spacing w:before="100" w:beforeAutospacing="1" w:after="100" w:afterAutospacing="1" w:line="240" w:lineRule="auto"/>
        <w:rPr>
          <w:rFonts w:ascii="Times New Roman" w:eastAsia="Times New Roman" w:hAnsi="Times New Roman" w:cs="Times New Roman"/>
          <w:sz w:val="24"/>
          <w:szCs w:val="24"/>
        </w:rPr>
      </w:pPr>
      <w:r w:rsidRPr="000E5F82">
        <w:rPr>
          <w:rFonts w:ascii="Times New Roman" w:eastAsia="Times New Roman" w:hAnsi="Times New Roman" w:cs="Times New Roman"/>
          <w:sz w:val="24"/>
          <w:szCs w:val="24"/>
        </w:rPr>
        <w:t>Exiting Earth and reentering Earth represent fundamentally different regimes governed by opposing density gradients and compression behavior. Reentry heating arises from compressive effects at hypersonic velocity, particularly between Mach 20 and Mach 10. The framework developed here does not attempt to eliminate these effects but to redistribute them through shock-layer control and timing synchronization. By grounding the approach in established hypersonic physics while introducing a structured control layer, the model provides a defensible and testable extension suitable for further academic investigation.</w:t>
      </w:r>
    </w:p>
    <w:p w14:paraId="11AEDCB8" w14:textId="77777777" w:rsidR="000E5F82" w:rsidRDefault="000E5F82" w:rsidP="000E5F82"/>
    <w:p w14:paraId="6F5209A4" w14:textId="1A24D292" w:rsidR="00743C8D" w:rsidRDefault="00000000">
      <w:pPr>
        <w:jc w:val="center"/>
      </w:pPr>
      <w:r>
        <w:rPr>
          <w:noProof/>
        </w:rPr>
        <w:drawing>
          <wp:inline distT="0" distB="0" distL="0" distR="0" wp14:anchorId="5ECD6429" wp14:editId="5A9F910E">
            <wp:extent cx="2590800" cy="2590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Go_Zones_fo.png"/>
                    <pic:cNvPicPr/>
                  </pic:nvPicPr>
                  <pic:blipFill>
                    <a:blip r:embed="rId12"/>
                    <a:stretch>
                      <a:fillRect/>
                    </a:stretch>
                  </pic:blipFill>
                  <pic:spPr>
                    <a:xfrm>
                      <a:off x="0" y="0"/>
                      <a:ext cx="2590800" cy="2590800"/>
                    </a:xfrm>
                    <a:prstGeom prst="rect">
                      <a:avLst/>
                    </a:prstGeom>
                  </pic:spPr>
                </pic:pic>
              </a:graphicData>
            </a:graphic>
          </wp:inline>
        </w:drawing>
      </w:r>
    </w:p>
    <w:p w14:paraId="5027477F" w14:textId="77777777" w:rsidR="000E5F82" w:rsidRDefault="000E5F82">
      <w:pPr>
        <w:jc w:val="center"/>
      </w:pPr>
    </w:p>
    <w:p w14:paraId="3B324A82" w14:textId="77777777" w:rsidR="00743C8D" w:rsidRDefault="00000000">
      <w:pPr>
        <w:jc w:val="center"/>
      </w:pPr>
      <w:r>
        <w:rPr>
          <w:noProof/>
        </w:rPr>
        <w:drawing>
          <wp:inline distT="0" distB="0" distL="0" distR="0" wp14:anchorId="74478085" wp14:editId="7AAFEA54">
            <wp:extent cx="2657475" cy="23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rse_Go_NoGo_Warp_Launch.png"/>
                    <pic:cNvPicPr/>
                  </pic:nvPicPr>
                  <pic:blipFill>
                    <a:blip r:embed="rId13"/>
                    <a:stretch>
                      <a:fillRect/>
                    </a:stretch>
                  </pic:blipFill>
                  <pic:spPr>
                    <a:xfrm flipH="1">
                      <a:off x="0" y="0"/>
                      <a:ext cx="2694481" cy="2375830"/>
                    </a:xfrm>
                    <a:prstGeom prst="rect">
                      <a:avLst/>
                    </a:prstGeom>
                  </pic:spPr>
                </pic:pic>
              </a:graphicData>
            </a:graphic>
          </wp:inline>
        </w:drawing>
      </w:r>
    </w:p>
    <w:p w14:paraId="4A2B795F" w14:textId="77777777" w:rsidR="00D253DA" w:rsidRDefault="00D253DA">
      <w:pPr>
        <w:jc w:val="center"/>
      </w:pPr>
    </w:p>
    <w:p w14:paraId="399C7BFA" w14:textId="77777777" w:rsidR="00D253DA" w:rsidRPr="00D253DA" w:rsidRDefault="00D253DA" w:rsidP="00D253DA">
      <w:pPr>
        <w:spacing w:before="100" w:beforeAutospacing="1" w:after="100" w:afterAutospacing="1" w:line="240" w:lineRule="auto"/>
        <w:outlineLvl w:val="1"/>
        <w:rPr>
          <w:rFonts w:ascii="Times New Roman" w:eastAsia="Times New Roman" w:hAnsi="Times New Roman" w:cs="Times New Roman"/>
          <w:b/>
          <w:bCs/>
          <w:sz w:val="36"/>
          <w:szCs w:val="36"/>
        </w:rPr>
      </w:pPr>
      <w:r w:rsidRPr="00D253DA">
        <w:rPr>
          <w:rFonts w:ascii="Times New Roman" w:eastAsia="Times New Roman" w:hAnsi="Times New Roman" w:cs="Times New Roman"/>
          <w:b/>
          <w:bCs/>
          <w:sz w:val="36"/>
          <w:szCs w:val="36"/>
        </w:rPr>
        <w:lastRenderedPageBreak/>
        <w:t>References</w:t>
      </w:r>
    </w:p>
    <w:p w14:paraId="434CF552" w14:textId="77777777" w:rsidR="00D253DA" w:rsidRPr="00D253DA" w:rsidRDefault="00D253DA" w:rsidP="00D253DA">
      <w:pPr>
        <w:spacing w:before="100" w:beforeAutospacing="1" w:after="100" w:afterAutospacing="1" w:line="240" w:lineRule="auto"/>
        <w:rPr>
          <w:rFonts w:ascii="Times New Roman" w:eastAsia="Times New Roman" w:hAnsi="Times New Roman" w:cs="Times New Roman"/>
          <w:sz w:val="24"/>
          <w:szCs w:val="24"/>
        </w:rPr>
      </w:pPr>
      <w:r w:rsidRPr="00D253DA">
        <w:rPr>
          <w:rFonts w:ascii="Times New Roman" w:eastAsia="Times New Roman" w:hAnsi="Times New Roman" w:cs="Times New Roman"/>
          <w:sz w:val="24"/>
          <w:szCs w:val="24"/>
        </w:rPr>
        <w:t>NASA</w:t>
      </w:r>
      <w:r w:rsidRPr="00D253DA">
        <w:rPr>
          <w:rFonts w:ascii="Times New Roman" w:eastAsia="Times New Roman" w:hAnsi="Times New Roman" w:cs="Times New Roman"/>
          <w:sz w:val="24"/>
          <w:szCs w:val="24"/>
        </w:rPr>
        <w:br/>
      </w:r>
      <w:proofErr w:type="spellStart"/>
      <w:r w:rsidRPr="00D253DA">
        <w:rPr>
          <w:rFonts w:ascii="Times New Roman" w:eastAsia="Times New Roman" w:hAnsi="Times New Roman" w:cs="Times New Roman"/>
          <w:sz w:val="24"/>
          <w:szCs w:val="24"/>
        </w:rPr>
        <w:t>NASA</w:t>
      </w:r>
      <w:proofErr w:type="spellEnd"/>
      <w:r w:rsidRPr="00D253DA">
        <w:rPr>
          <w:rFonts w:ascii="Times New Roman" w:eastAsia="Times New Roman" w:hAnsi="Times New Roman" w:cs="Times New Roman"/>
          <w:sz w:val="24"/>
          <w:szCs w:val="24"/>
        </w:rPr>
        <w:t xml:space="preserve"> Glenn Research Center. </w:t>
      </w:r>
      <w:r w:rsidRPr="00D253DA">
        <w:rPr>
          <w:rFonts w:ascii="Times New Roman" w:eastAsia="Times New Roman" w:hAnsi="Times New Roman" w:cs="Times New Roman"/>
          <w:i/>
          <w:iCs/>
          <w:sz w:val="24"/>
          <w:szCs w:val="24"/>
        </w:rPr>
        <w:t>Hypersonic Flight and Reentry</w:t>
      </w:r>
      <w:r w:rsidRPr="00D253DA">
        <w:rPr>
          <w:rFonts w:ascii="Times New Roman" w:eastAsia="Times New Roman" w:hAnsi="Times New Roman" w:cs="Times New Roman"/>
          <w:sz w:val="24"/>
          <w:szCs w:val="24"/>
        </w:rPr>
        <w:t>.</w:t>
      </w:r>
      <w:r w:rsidRPr="00D253DA">
        <w:rPr>
          <w:rFonts w:ascii="Times New Roman" w:eastAsia="Times New Roman" w:hAnsi="Times New Roman" w:cs="Times New Roman"/>
          <w:sz w:val="24"/>
          <w:szCs w:val="24"/>
        </w:rPr>
        <w:br/>
      </w:r>
      <w:hyperlink r:id="rId14" w:tgtFrame="_new" w:history="1">
        <w:r w:rsidRPr="00D253DA">
          <w:rPr>
            <w:rFonts w:ascii="Times New Roman" w:eastAsia="Times New Roman" w:hAnsi="Times New Roman" w:cs="Times New Roman"/>
            <w:color w:val="0000FF"/>
            <w:sz w:val="24"/>
            <w:szCs w:val="24"/>
            <w:u w:val="single"/>
          </w:rPr>
          <w:t>https://www.grc.nasa.gov/www/BGH/hihyper.html</w:t>
        </w:r>
      </w:hyperlink>
    </w:p>
    <w:p w14:paraId="7A6C19E9" w14:textId="77777777" w:rsidR="00D253DA" w:rsidRPr="00D253DA" w:rsidRDefault="00D253DA" w:rsidP="00D253DA">
      <w:pPr>
        <w:spacing w:before="100" w:beforeAutospacing="1" w:after="100" w:afterAutospacing="1" w:line="240" w:lineRule="auto"/>
        <w:rPr>
          <w:rFonts w:ascii="Times New Roman" w:eastAsia="Times New Roman" w:hAnsi="Times New Roman" w:cs="Times New Roman"/>
          <w:sz w:val="24"/>
          <w:szCs w:val="24"/>
        </w:rPr>
      </w:pPr>
      <w:r w:rsidRPr="00D253DA">
        <w:rPr>
          <w:rFonts w:ascii="Times New Roman" w:eastAsia="Times New Roman" w:hAnsi="Times New Roman" w:cs="Times New Roman"/>
          <w:sz w:val="24"/>
          <w:szCs w:val="24"/>
        </w:rPr>
        <w:t>NASA</w:t>
      </w:r>
      <w:r w:rsidRPr="00D253DA">
        <w:rPr>
          <w:rFonts w:ascii="Times New Roman" w:eastAsia="Times New Roman" w:hAnsi="Times New Roman" w:cs="Times New Roman"/>
          <w:sz w:val="24"/>
          <w:szCs w:val="24"/>
        </w:rPr>
        <w:br/>
      </w:r>
      <w:proofErr w:type="spellStart"/>
      <w:r w:rsidRPr="00D253DA">
        <w:rPr>
          <w:rFonts w:ascii="Times New Roman" w:eastAsia="Times New Roman" w:hAnsi="Times New Roman" w:cs="Times New Roman"/>
          <w:sz w:val="24"/>
          <w:szCs w:val="24"/>
        </w:rPr>
        <w:t>NASA</w:t>
      </w:r>
      <w:proofErr w:type="spellEnd"/>
      <w:r w:rsidRPr="00D253DA">
        <w:rPr>
          <w:rFonts w:ascii="Times New Roman" w:eastAsia="Times New Roman" w:hAnsi="Times New Roman" w:cs="Times New Roman"/>
          <w:sz w:val="24"/>
          <w:szCs w:val="24"/>
        </w:rPr>
        <w:t xml:space="preserve"> Glenn Research Center. </w:t>
      </w:r>
      <w:r w:rsidRPr="00D253DA">
        <w:rPr>
          <w:rFonts w:ascii="Times New Roman" w:eastAsia="Times New Roman" w:hAnsi="Times New Roman" w:cs="Times New Roman"/>
          <w:i/>
          <w:iCs/>
          <w:sz w:val="24"/>
          <w:szCs w:val="24"/>
        </w:rPr>
        <w:t>Orbital Mechanics and Spaceflight Basics</w:t>
      </w:r>
      <w:r w:rsidRPr="00D253DA">
        <w:rPr>
          <w:rFonts w:ascii="Times New Roman" w:eastAsia="Times New Roman" w:hAnsi="Times New Roman" w:cs="Times New Roman"/>
          <w:sz w:val="24"/>
          <w:szCs w:val="24"/>
        </w:rPr>
        <w:t>.</w:t>
      </w:r>
      <w:r w:rsidRPr="00D253DA">
        <w:rPr>
          <w:rFonts w:ascii="Times New Roman" w:eastAsia="Times New Roman" w:hAnsi="Times New Roman" w:cs="Times New Roman"/>
          <w:sz w:val="24"/>
          <w:szCs w:val="24"/>
        </w:rPr>
        <w:br/>
      </w:r>
      <w:hyperlink r:id="rId15" w:tgtFrame="_new" w:history="1">
        <w:r w:rsidRPr="00D253DA">
          <w:rPr>
            <w:rFonts w:ascii="Times New Roman" w:eastAsia="Times New Roman" w:hAnsi="Times New Roman" w:cs="Times New Roman"/>
            <w:color w:val="0000FF"/>
            <w:sz w:val="24"/>
            <w:szCs w:val="24"/>
            <w:u w:val="single"/>
          </w:rPr>
          <w:t>https://www.grc.nasa.gov/www/k-12/airplane/hmission.html</w:t>
        </w:r>
      </w:hyperlink>
    </w:p>
    <w:p w14:paraId="202AF8A8" w14:textId="77777777" w:rsidR="00D253DA" w:rsidRPr="00D253DA" w:rsidRDefault="00D253DA" w:rsidP="00D253DA">
      <w:pPr>
        <w:spacing w:before="100" w:beforeAutospacing="1" w:after="100" w:afterAutospacing="1" w:line="240" w:lineRule="auto"/>
        <w:rPr>
          <w:rFonts w:ascii="Times New Roman" w:eastAsia="Times New Roman" w:hAnsi="Times New Roman" w:cs="Times New Roman"/>
          <w:sz w:val="24"/>
          <w:szCs w:val="24"/>
        </w:rPr>
      </w:pPr>
      <w:r w:rsidRPr="00D253DA">
        <w:rPr>
          <w:rFonts w:ascii="Times New Roman" w:eastAsia="Times New Roman" w:hAnsi="Times New Roman" w:cs="Times New Roman"/>
          <w:sz w:val="24"/>
          <w:szCs w:val="24"/>
        </w:rPr>
        <w:t>Fundamentals of Astrodynamics</w:t>
      </w:r>
      <w:r w:rsidRPr="00D253DA">
        <w:rPr>
          <w:rFonts w:ascii="Times New Roman" w:eastAsia="Times New Roman" w:hAnsi="Times New Roman" w:cs="Times New Roman"/>
          <w:sz w:val="24"/>
          <w:szCs w:val="24"/>
        </w:rPr>
        <w:br/>
        <w:t>Bate, R. R., Mueller, D. D., &amp; White, J. E.</w:t>
      </w:r>
      <w:r w:rsidRPr="00D253DA">
        <w:rPr>
          <w:rFonts w:ascii="Times New Roman" w:eastAsia="Times New Roman" w:hAnsi="Times New Roman" w:cs="Times New Roman"/>
          <w:sz w:val="24"/>
          <w:szCs w:val="24"/>
        </w:rPr>
        <w:br/>
      </w:r>
      <w:r w:rsidRPr="00D253DA">
        <w:rPr>
          <w:rFonts w:ascii="Times New Roman" w:eastAsia="Times New Roman" w:hAnsi="Times New Roman" w:cs="Times New Roman"/>
          <w:i/>
          <w:iCs/>
          <w:sz w:val="24"/>
          <w:szCs w:val="24"/>
        </w:rPr>
        <w:t>Fundamentals of Astrodynamics</w:t>
      </w:r>
      <w:r w:rsidRPr="00D253DA">
        <w:rPr>
          <w:rFonts w:ascii="Times New Roman" w:eastAsia="Times New Roman" w:hAnsi="Times New Roman" w:cs="Times New Roman"/>
          <w:sz w:val="24"/>
          <w:szCs w:val="24"/>
        </w:rPr>
        <w:t>. Dover Publications, 1971.</w:t>
      </w:r>
    </w:p>
    <w:p w14:paraId="2B9205FF" w14:textId="77777777" w:rsidR="00D253DA" w:rsidRPr="00D253DA" w:rsidRDefault="00D253DA" w:rsidP="00D253DA">
      <w:pPr>
        <w:spacing w:before="100" w:beforeAutospacing="1" w:after="100" w:afterAutospacing="1" w:line="240" w:lineRule="auto"/>
        <w:rPr>
          <w:rFonts w:ascii="Times New Roman" w:eastAsia="Times New Roman" w:hAnsi="Times New Roman" w:cs="Times New Roman"/>
          <w:sz w:val="24"/>
          <w:szCs w:val="24"/>
        </w:rPr>
      </w:pPr>
      <w:r w:rsidRPr="00D253DA">
        <w:rPr>
          <w:rFonts w:ascii="Times New Roman" w:eastAsia="Times New Roman" w:hAnsi="Times New Roman" w:cs="Times New Roman"/>
          <w:sz w:val="24"/>
          <w:szCs w:val="24"/>
        </w:rPr>
        <w:t>Modern Compressible Flow</w:t>
      </w:r>
      <w:r w:rsidRPr="00D253DA">
        <w:rPr>
          <w:rFonts w:ascii="Times New Roman" w:eastAsia="Times New Roman" w:hAnsi="Times New Roman" w:cs="Times New Roman"/>
          <w:sz w:val="24"/>
          <w:szCs w:val="24"/>
        </w:rPr>
        <w:br/>
        <w:t>Anderson, J. D.</w:t>
      </w:r>
      <w:r w:rsidRPr="00D253DA">
        <w:rPr>
          <w:rFonts w:ascii="Times New Roman" w:eastAsia="Times New Roman" w:hAnsi="Times New Roman" w:cs="Times New Roman"/>
          <w:sz w:val="24"/>
          <w:szCs w:val="24"/>
        </w:rPr>
        <w:br/>
      </w:r>
      <w:r w:rsidRPr="00D253DA">
        <w:rPr>
          <w:rFonts w:ascii="Times New Roman" w:eastAsia="Times New Roman" w:hAnsi="Times New Roman" w:cs="Times New Roman"/>
          <w:i/>
          <w:iCs/>
          <w:sz w:val="24"/>
          <w:szCs w:val="24"/>
        </w:rPr>
        <w:t>Modern Compressible Flow: With Historical Perspective</w:t>
      </w:r>
      <w:r w:rsidRPr="00D253DA">
        <w:rPr>
          <w:rFonts w:ascii="Times New Roman" w:eastAsia="Times New Roman" w:hAnsi="Times New Roman" w:cs="Times New Roman"/>
          <w:sz w:val="24"/>
          <w:szCs w:val="24"/>
        </w:rPr>
        <w:t>. McGraw-Hill, 2003.</w:t>
      </w:r>
    </w:p>
    <w:p w14:paraId="1BFCCD9F" w14:textId="77777777" w:rsidR="00D253DA" w:rsidRPr="00D253DA" w:rsidRDefault="00D253DA" w:rsidP="00D253DA">
      <w:pPr>
        <w:spacing w:before="100" w:beforeAutospacing="1" w:after="100" w:afterAutospacing="1" w:line="240" w:lineRule="auto"/>
        <w:rPr>
          <w:rFonts w:ascii="Times New Roman" w:eastAsia="Times New Roman" w:hAnsi="Times New Roman" w:cs="Times New Roman"/>
          <w:sz w:val="24"/>
          <w:szCs w:val="24"/>
        </w:rPr>
      </w:pPr>
      <w:r w:rsidRPr="00D253DA">
        <w:rPr>
          <w:rFonts w:ascii="Times New Roman" w:eastAsia="Times New Roman" w:hAnsi="Times New Roman" w:cs="Times New Roman"/>
          <w:sz w:val="24"/>
          <w:szCs w:val="24"/>
        </w:rPr>
        <w:t>Hypersonic and High Temperature Gas Dynamics</w:t>
      </w:r>
      <w:r w:rsidRPr="00D253DA">
        <w:rPr>
          <w:rFonts w:ascii="Times New Roman" w:eastAsia="Times New Roman" w:hAnsi="Times New Roman" w:cs="Times New Roman"/>
          <w:sz w:val="24"/>
          <w:szCs w:val="24"/>
        </w:rPr>
        <w:br/>
        <w:t>Anderson, J. D.</w:t>
      </w:r>
      <w:r w:rsidRPr="00D253DA">
        <w:rPr>
          <w:rFonts w:ascii="Times New Roman" w:eastAsia="Times New Roman" w:hAnsi="Times New Roman" w:cs="Times New Roman"/>
          <w:sz w:val="24"/>
          <w:szCs w:val="24"/>
        </w:rPr>
        <w:br/>
      </w:r>
      <w:r w:rsidRPr="00D253DA">
        <w:rPr>
          <w:rFonts w:ascii="Times New Roman" w:eastAsia="Times New Roman" w:hAnsi="Times New Roman" w:cs="Times New Roman"/>
          <w:i/>
          <w:iCs/>
          <w:sz w:val="24"/>
          <w:szCs w:val="24"/>
        </w:rPr>
        <w:t>Hypersonic and High-Temperature Gas Dynamics</w:t>
      </w:r>
      <w:r w:rsidRPr="00D253DA">
        <w:rPr>
          <w:rFonts w:ascii="Times New Roman" w:eastAsia="Times New Roman" w:hAnsi="Times New Roman" w:cs="Times New Roman"/>
          <w:sz w:val="24"/>
          <w:szCs w:val="24"/>
        </w:rPr>
        <w:t>. AIAA, 2006.</w:t>
      </w:r>
    </w:p>
    <w:p w14:paraId="4C691943" w14:textId="77777777" w:rsidR="00D253DA" w:rsidRPr="00D253DA" w:rsidRDefault="00D253DA" w:rsidP="00D253DA">
      <w:pPr>
        <w:spacing w:before="100" w:beforeAutospacing="1" w:after="100" w:afterAutospacing="1" w:line="240" w:lineRule="auto"/>
        <w:rPr>
          <w:rFonts w:ascii="Times New Roman" w:eastAsia="Times New Roman" w:hAnsi="Times New Roman" w:cs="Times New Roman"/>
          <w:sz w:val="24"/>
          <w:szCs w:val="24"/>
        </w:rPr>
      </w:pPr>
      <w:r w:rsidRPr="00D253DA">
        <w:rPr>
          <w:rFonts w:ascii="Times New Roman" w:eastAsia="Times New Roman" w:hAnsi="Times New Roman" w:cs="Times New Roman"/>
          <w:sz w:val="24"/>
          <w:szCs w:val="24"/>
        </w:rPr>
        <w:t>Atmospheric Re-Entry Vehicle Mechanics</w:t>
      </w:r>
      <w:r w:rsidRPr="00D253DA">
        <w:rPr>
          <w:rFonts w:ascii="Times New Roman" w:eastAsia="Times New Roman" w:hAnsi="Times New Roman" w:cs="Times New Roman"/>
          <w:sz w:val="24"/>
          <w:szCs w:val="24"/>
        </w:rPr>
        <w:br/>
      </w:r>
      <w:proofErr w:type="spellStart"/>
      <w:r w:rsidRPr="00D253DA">
        <w:rPr>
          <w:rFonts w:ascii="Times New Roman" w:eastAsia="Times New Roman" w:hAnsi="Times New Roman" w:cs="Times New Roman"/>
          <w:sz w:val="24"/>
          <w:szCs w:val="24"/>
        </w:rPr>
        <w:t>Gallais</w:t>
      </w:r>
      <w:proofErr w:type="spellEnd"/>
      <w:r w:rsidRPr="00D253DA">
        <w:rPr>
          <w:rFonts w:ascii="Times New Roman" w:eastAsia="Times New Roman" w:hAnsi="Times New Roman" w:cs="Times New Roman"/>
          <w:sz w:val="24"/>
          <w:szCs w:val="24"/>
        </w:rPr>
        <w:t>, P.</w:t>
      </w:r>
      <w:r w:rsidRPr="00D253DA">
        <w:rPr>
          <w:rFonts w:ascii="Times New Roman" w:eastAsia="Times New Roman" w:hAnsi="Times New Roman" w:cs="Times New Roman"/>
          <w:sz w:val="24"/>
          <w:szCs w:val="24"/>
        </w:rPr>
        <w:br/>
      </w:r>
      <w:r w:rsidRPr="00D253DA">
        <w:rPr>
          <w:rFonts w:ascii="Times New Roman" w:eastAsia="Times New Roman" w:hAnsi="Times New Roman" w:cs="Times New Roman"/>
          <w:i/>
          <w:iCs/>
          <w:sz w:val="24"/>
          <w:szCs w:val="24"/>
        </w:rPr>
        <w:t>Atmospheric Re-Entry Vehicle Mechanics</w:t>
      </w:r>
      <w:r w:rsidRPr="00D253DA">
        <w:rPr>
          <w:rFonts w:ascii="Times New Roman" w:eastAsia="Times New Roman" w:hAnsi="Times New Roman" w:cs="Times New Roman"/>
          <w:sz w:val="24"/>
          <w:szCs w:val="24"/>
        </w:rPr>
        <w:t>. Springer, 2007.</w:t>
      </w:r>
    </w:p>
    <w:p w14:paraId="76FB0AA2" w14:textId="77777777" w:rsidR="00D253DA" w:rsidRPr="00D253DA" w:rsidRDefault="00D253DA" w:rsidP="00D253DA">
      <w:pPr>
        <w:spacing w:before="100" w:beforeAutospacing="1" w:after="100" w:afterAutospacing="1" w:line="240" w:lineRule="auto"/>
        <w:rPr>
          <w:rFonts w:ascii="Times New Roman" w:eastAsia="Times New Roman" w:hAnsi="Times New Roman" w:cs="Times New Roman"/>
          <w:sz w:val="24"/>
          <w:szCs w:val="24"/>
        </w:rPr>
      </w:pPr>
      <w:r w:rsidRPr="00D253DA">
        <w:rPr>
          <w:rFonts w:ascii="Times New Roman" w:eastAsia="Times New Roman" w:hAnsi="Times New Roman" w:cs="Times New Roman"/>
          <w:sz w:val="24"/>
          <w:szCs w:val="24"/>
        </w:rPr>
        <w:t>Space Vehicle Design</w:t>
      </w:r>
      <w:r w:rsidRPr="00D253DA">
        <w:rPr>
          <w:rFonts w:ascii="Times New Roman" w:eastAsia="Times New Roman" w:hAnsi="Times New Roman" w:cs="Times New Roman"/>
          <w:sz w:val="24"/>
          <w:szCs w:val="24"/>
        </w:rPr>
        <w:br/>
        <w:t>Griffin, M. D., &amp; French, J. R.</w:t>
      </w:r>
      <w:r w:rsidRPr="00D253DA">
        <w:rPr>
          <w:rFonts w:ascii="Times New Roman" w:eastAsia="Times New Roman" w:hAnsi="Times New Roman" w:cs="Times New Roman"/>
          <w:sz w:val="24"/>
          <w:szCs w:val="24"/>
        </w:rPr>
        <w:br/>
      </w:r>
      <w:r w:rsidRPr="00D253DA">
        <w:rPr>
          <w:rFonts w:ascii="Times New Roman" w:eastAsia="Times New Roman" w:hAnsi="Times New Roman" w:cs="Times New Roman"/>
          <w:i/>
          <w:iCs/>
          <w:sz w:val="24"/>
          <w:szCs w:val="24"/>
        </w:rPr>
        <w:t>Space Vehicle Design</w:t>
      </w:r>
      <w:r w:rsidRPr="00D253DA">
        <w:rPr>
          <w:rFonts w:ascii="Times New Roman" w:eastAsia="Times New Roman" w:hAnsi="Times New Roman" w:cs="Times New Roman"/>
          <w:sz w:val="24"/>
          <w:szCs w:val="24"/>
        </w:rPr>
        <w:t>. AIAA Education Series, 2004.</w:t>
      </w:r>
    </w:p>
    <w:p w14:paraId="17D3ED41" w14:textId="77777777" w:rsidR="00D253DA" w:rsidRPr="00D253DA" w:rsidRDefault="00D253DA" w:rsidP="00D253DA">
      <w:pPr>
        <w:spacing w:before="100" w:beforeAutospacing="1" w:after="100" w:afterAutospacing="1" w:line="240" w:lineRule="auto"/>
        <w:rPr>
          <w:rFonts w:ascii="Times New Roman" w:eastAsia="Times New Roman" w:hAnsi="Times New Roman" w:cs="Times New Roman"/>
          <w:sz w:val="24"/>
          <w:szCs w:val="24"/>
        </w:rPr>
      </w:pPr>
      <w:r w:rsidRPr="00D253DA">
        <w:rPr>
          <w:rFonts w:ascii="Times New Roman" w:eastAsia="Times New Roman" w:hAnsi="Times New Roman" w:cs="Times New Roman"/>
          <w:sz w:val="24"/>
          <w:szCs w:val="24"/>
        </w:rPr>
        <w:t>National Institute of Standards and Technology</w:t>
      </w:r>
      <w:r w:rsidRPr="00D253DA">
        <w:rPr>
          <w:rFonts w:ascii="Times New Roman" w:eastAsia="Times New Roman" w:hAnsi="Times New Roman" w:cs="Times New Roman"/>
          <w:sz w:val="24"/>
          <w:szCs w:val="24"/>
        </w:rPr>
        <w:br/>
        <w:t xml:space="preserve">NIST. </w:t>
      </w:r>
      <w:r w:rsidRPr="00D253DA">
        <w:rPr>
          <w:rFonts w:ascii="Times New Roman" w:eastAsia="Times New Roman" w:hAnsi="Times New Roman" w:cs="Times New Roman"/>
          <w:i/>
          <w:iCs/>
          <w:sz w:val="24"/>
          <w:szCs w:val="24"/>
        </w:rPr>
        <w:t>Atomic Clocks and Primary Frequency Standards</w:t>
      </w:r>
      <w:r w:rsidRPr="00D253DA">
        <w:rPr>
          <w:rFonts w:ascii="Times New Roman" w:eastAsia="Times New Roman" w:hAnsi="Times New Roman" w:cs="Times New Roman"/>
          <w:sz w:val="24"/>
          <w:szCs w:val="24"/>
        </w:rPr>
        <w:t>.</w:t>
      </w:r>
      <w:r w:rsidRPr="00D253DA">
        <w:rPr>
          <w:rFonts w:ascii="Times New Roman" w:eastAsia="Times New Roman" w:hAnsi="Times New Roman" w:cs="Times New Roman"/>
          <w:sz w:val="24"/>
          <w:szCs w:val="24"/>
        </w:rPr>
        <w:br/>
      </w:r>
      <w:hyperlink r:id="rId16" w:tgtFrame="_new" w:history="1">
        <w:r w:rsidRPr="00D253DA">
          <w:rPr>
            <w:rFonts w:ascii="Times New Roman" w:eastAsia="Times New Roman" w:hAnsi="Times New Roman" w:cs="Times New Roman"/>
            <w:color w:val="0000FF"/>
            <w:sz w:val="24"/>
            <w:szCs w:val="24"/>
            <w:u w:val="single"/>
          </w:rPr>
          <w:t>https://www.nist.gov/pml/time-and-frequency-division</w:t>
        </w:r>
      </w:hyperlink>
    </w:p>
    <w:p w14:paraId="1447BD5C" w14:textId="112AB801" w:rsidR="00D253DA" w:rsidRDefault="00D253DA" w:rsidP="00D253DA">
      <w:pPr>
        <w:spacing w:after="0" w:line="240" w:lineRule="auto"/>
      </w:pPr>
      <w:r w:rsidRPr="00D253DA">
        <w:rPr>
          <w:rFonts w:ascii="Times New Roman" w:eastAsia="Times New Roman" w:hAnsi="Times New Roman" w:cs="Times New Roman"/>
          <w:b/>
          <w:bCs/>
          <w:sz w:val="24"/>
          <w:szCs w:val="24"/>
        </w:rPr>
        <w:t>Casanova, G.</w:t>
      </w:r>
      <w:r w:rsidRPr="00D253DA">
        <w:rPr>
          <w:rFonts w:ascii="Times New Roman" w:eastAsia="Times New Roman" w:hAnsi="Times New Roman" w:cs="Times New Roman"/>
          <w:sz w:val="24"/>
          <w:szCs w:val="24"/>
        </w:rPr>
        <w:br/>
      </w:r>
      <w:r w:rsidRPr="00D253DA">
        <w:rPr>
          <w:rFonts w:ascii="Times New Roman" w:eastAsia="Times New Roman" w:hAnsi="Times New Roman" w:cs="Times New Roman"/>
          <w:i/>
          <w:iCs/>
          <w:sz w:val="24"/>
          <w:szCs w:val="24"/>
        </w:rPr>
        <w:t>Curvature Synchronization Theory (CST): A Timing-Based Control Framework for High-Velocity Aerospace Systems</w:t>
      </w:r>
      <w:r w:rsidRPr="00D253DA">
        <w:rPr>
          <w:rFonts w:ascii="Times New Roman" w:eastAsia="Times New Roman" w:hAnsi="Times New Roman" w:cs="Times New Roman"/>
          <w:sz w:val="24"/>
          <w:szCs w:val="24"/>
        </w:rPr>
        <w:t>.</w:t>
      </w:r>
      <w:r w:rsidRPr="00D253DA">
        <w:rPr>
          <w:rFonts w:ascii="Times New Roman" w:eastAsia="Times New Roman" w:hAnsi="Times New Roman" w:cs="Times New Roman"/>
          <w:sz w:val="24"/>
          <w:szCs w:val="24"/>
        </w:rPr>
        <w:br/>
        <w:t>(Theory p</w:t>
      </w:r>
    </w:p>
    <w:sectPr w:rsidR="00D253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953354">
    <w:abstractNumId w:val="8"/>
  </w:num>
  <w:num w:numId="2" w16cid:durableId="1260479220">
    <w:abstractNumId w:val="6"/>
  </w:num>
  <w:num w:numId="3" w16cid:durableId="647902711">
    <w:abstractNumId w:val="5"/>
  </w:num>
  <w:num w:numId="4" w16cid:durableId="551384860">
    <w:abstractNumId w:val="4"/>
  </w:num>
  <w:num w:numId="5" w16cid:durableId="2061205407">
    <w:abstractNumId w:val="7"/>
  </w:num>
  <w:num w:numId="6" w16cid:durableId="647127935">
    <w:abstractNumId w:val="3"/>
  </w:num>
  <w:num w:numId="7" w16cid:durableId="1304434337">
    <w:abstractNumId w:val="2"/>
  </w:num>
  <w:num w:numId="8" w16cid:durableId="461653720">
    <w:abstractNumId w:val="1"/>
  </w:num>
  <w:num w:numId="9" w16cid:durableId="1491871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5F82"/>
    <w:rsid w:val="0015074B"/>
    <w:rsid w:val="0029639D"/>
    <w:rsid w:val="00326F90"/>
    <w:rsid w:val="00743C8D"/>
    <w:rsid w:val="007D3C28"/>
    <w:rsid w:val="00AA1D8D"/>
    <w:rsid w:val="00B47730"/>
    <w:rsid w:val="00BC0274"/>
    <w:rsid w:val="00C839E5"/>
    <w:rsid w:val="00CB0664"/>
    <w:rsid w:val="00D253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A2B5E2"/>
  <w14:defaultImageDpi w14:val="300"/>
  <w15:docId w15:val="{BC9DFEEC-BC90-46A7-8744-8E047845F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nist.gov/pml/time-and-frequency-division"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hyperlink" Target="https://www.grc.nasa.gov/www/k-12/airplane/hmission.html?utm_source=chatgpt.com" TargetMode="Externa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hyperlink" Target="https://www.grc.nasa.gov/www/BGH/hihyper.html?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7</Pages>
  <Words>1082</Words>
  <Characters>6845</Characters>
  <Application>Microsoft Office Word</Application>
  <DocSecurity>0</DocSecurity>
  <Lines>152</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Gabino Casanova</cp:lastModifiedBy>
  <cp:revision>3</cp:revision>
  <dcterms:created xsi:type="dcterms:W3CDTF">2013-12-23T23:15:00Z</dcterms:created>
  <dcterms:modified xsi:type="dcterms:W3CDTF">2026-04-17T00:28:00Z</dcterms:modified>
  <cp:category/>
</cp:coreProperties>
</file>