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8C909" w14:textId="77777777" w:rsidR="00EE6F07" w:rsidRPr="00EE6F07" w:rsidRDefault="00EE6F07" w:rsidP="00EE6F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6F07">
        <w:rPr>
          <w:rFonts w:ascii="Times New Roman" w:eastAsia="Times New Roman" w:hAnsi="Times New Roman" w:cs="Times New Roman"/>
          <w:b/>
          <w:bCs/>
          <w:kern w:val="0"/>
          <w:sz w:val="27"/>
          <w:szCs w:val="27"/>
          <w14:ligatures w14:val="none"/>
        </w:rPr>
        <w:t>Atomic-Time Constrained Evolution</w:t>
      </w:r>
    </w:p>
    <w:p w14:paraId="351534F6" w14:textId="77777777" w:rsidR="00EE6F07" w:rsidRPr="00EE6F07" w:rsidRDefault="00EE6F07" w:rsidP="00EE6F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6F07">
        <w:rPr>
          <w:rFonts w:ascii="Times New Roman" w:eastAsia="Times New Roman" w:hAnsi="Times New Roman" w:cs="Times New Roman"/>
          <w:b/>
          <w:bCs/>
          <w:kern w:val="0"/>
          <w:sz w:val="27"/>
          <w:szCs w:val="27"/>
          <w14:ligatures w14:val="none"/>
        </w:rPr>
        <w:t>A Theoretical Curvature Synchronization Interpretation of Long-Scale Human Mutation Accumulation</w:t>
      </w:r>
    </w:p>
    <w:p w14:paraId="099DA147"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b/>
          <w:bCs/>
          <w:kern w:val="0"/>
          <w14:ligatures w14:val="none"/>
        </w:rPr>
        <w:t>Abstract</w:t>
      </w:r>
      <w:r w:rsidRPr="00EE6F07">
        <w:rPr>
          <w:rFonts w:ascii="Times New Roman" w:eastAsia="Times New Roman" w:hAnsi="Times New Roman" w:cs="Times New Roman"/>
          <w:kern w:val="0"/>
          <w14:ligatures w14:val="none"/>
        </w:rPr>
        <w:br/>
        <w:t>A Theoretical Framework for Microbial Continuity, Mutation Accumulation, and Extinction Reset Dynamics by Gabino Casanova</w:t>
      </w:r>
    </w:p>
    <w:p w14:paraId="7F40E772"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kern w:val="0"/>
          <w14:ligatures w14:val="none"/>
        </w:rPr>
        <w:t xml:space="preserve">This paper presents a theoretical framework linking biological evolution to atomic time measurement and a proposed Curvature Synchronization Time (CST) interpretation. While current evidence places the emergence of </w:t>
      </w:r>
      <w:r w:rsidRPr="00EE6F07">
        <w:rPr>
          <w:rFonts w:ascii="Times New Roman" w:eastAsia="Times New Roman" w:hAnsi="Times New Roman" w:cs="Times New Roman"/>
          <w:i/>
          <w:iCs/>
          <w:kern w:val="0"/>
          <w14:ligatures w14:val="none"/>
        </w:rPr>
        <w:t>Homo sapiens</w:t>
      </w:r>
      <w:r w:rsidRPr="00EE6F07">
        <w:rPr>
          <w:rFonts w:ascii="Times New Roman" w:eastAsia="Times New Roman" w:hAnsi="Times New Roman" w:cs="Times New Roman"/>
          <w:kern w:val="0"/>
          <w14:ligatures w14:val="none"/>
        </w:rPr>
        <w:t xml:space="preserve"> at approximately 300,000 years and early hominins at approximately 7 million years, this work extends the model hypothetically to deep time scales of approximately 66 million years to evaluate mutation accumulation under a constant atomic-time ruler. The objective is not to redefine evolutionary biology, but to provide a time-integrated model illustrating how incremental genetic variation may accumulate over extreme temporal spans, including hypothetical pre-hominin survival scenarios following large-scale planetary disruptions such as the Chicxulub impact.</w:t>
      </w:r>
    </w:p>
    <w:p w14:paraId="77FC0BA1"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kern w:val="0"/>
          <w14:ligatures w14:val="none"/>
        </w:rPr>
        <w:t>This study integrates atomic time, biological mutation rates, and CST to model evolutionary processes across deep time. Empirical evidence establishes that life emerged on Earth at least approximately 3.5 billion years ago, with microbial systems forming a persistent biological foundation. Mass extinction events, such as the Chicxulub impact, eliminated approximately 75 percent of species but did not eradicate microbial life. This paper proposes a unified model in which microbial populations provide continuous evolutionary capacity, while higher-complexity organisms undergo periodic reset dynamics. Using atomic time as a physical ruler and CST as an interpretive scaling framework, the study explores mutation accumulation, population dynamics, and evolutionary opportunity across geological timescales.</w:t>
      </w:r>
    </w:p>
    <w:p w14:paraId="1B570C36"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b/>
          <w:bCs/>
          <w:kern w:val="0"/>
          <w14:ligatures w14:val="none"/>
        </w:rPr>
        <w:t>Introduction</w:t>
      </w:r>
    </w:p>
    <w:p w14:paraId="757C3CAB"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kern w:val="0"/>
          <w14:ligatures w14:val="none"/>
        </w:rPr>
        <w:t>Evolutionary biology establishes that human development results from gradual mutation accumulation and natural selection over millions of years. Modern genomic studies estimate that humans acquire approximately 50–100 de novo mutations per generation, with an average generation time of approximately 20–30 years.</w:t>
      </w:r>
    </w:p>
    <w:p w14:paraId="3A307025"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kern w:val="0"/>
          <w14:ligatures w14:val="none"/>
        </w:rPr>
        <w:t>This study introduces a time-based reinterpretation in which mutation accumulation is expressed as a function of atomic time and interpreted through a CST framework. The goal is to quantify how biological change scales over extreme durations and to explore theoretical scenarios beyond current fossil evidence. Evolution is characterized by gradual genetic variation, natural selection, and episodic extinction events.</w:t>
      </w:r>
    </w:p>
    <w:p w14:paraId="6F4B1760"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kern w:val="0"/>
          <w14:ligatures w14:val="none"/>
        </w:rPr>
        <w:t xml:space="preserve">Fossil and geochemical evidence indicate that microbial life </w:t>
      </w:r>
      <w:proofErr w:type="gramStart"/>
      <w:r w:rsidRPr="00EE6F07">
        <w:rPr>
          <w:rFonts w:ascii="Times New Roman" w:eastAsia="Times New Roman" w:hAnsi="Times New Roman" w:cs="Times New Roman"/>
          <w:kern w:val="0"/>
          <w14:ligatures w14:val="none"/>
        </w:rPr>
        <w:t>existed by</w:t>
      </w:r>
      <w:proofErr w:type="gramEnd"/>
      <w:r w:rsidRPr="00EE6F07">
        <w:rPr>
          <w:rFonts w:ascii="Times New Roman" w:eastAsia="Times New Roman" w:hAnsi="Times New Roman" w:cs="Times New Roman"/>
          <w:kern w:val="0"/>
          <w14:ligatures w14:val="none"/>
        </w:rPr>
        <w:t xml:space="preserve"> approximately 3.5 billion years ago, whereas modern humans emerged only approximately 300,000 years ago. This disparity raises a fundamental question regarding how evolutionary change can be consistently quantified across vast spans of time.</w:t>
      </w:r>
    </w:p>
    <w:p w14:paraId="2ECCB935"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kern w:val="0"/>
          <w14:ligatures w14:val="none"/>
        </w:rPr>
        <w:lastRenderedPageBreak/>
        <w:t>This paper introduces a framework combining atomic time as a precise physical measure, mutation accumulation models, population growth dynamics, extinction reset events, and CST time as a synchronized interpretive layer.</w:t>
      </w:r>
    </w:p>
    <w:p w14:paraId="7EE9FF7D"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b/>
          <w:bCs/>
          <w:kern w:val="0"/>
          <w14:ligatures w14:val="none"/>
        </w:rPr>
        <w:t>Atomic Time as an Evolutionary Ruler and Empirical Foundations</w:t>
      </w:r>
    </w:p>
    <w:p w14:paraId="71FB6B6C"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kern w:val="0"/>
          <w14:ligatures w14:val="none"/>
        </w:rPr>
        <w:t>Atomic time provides the most precise physical measurement of elapsed duration, defined by cesium oscillations. One second corresponds to 9,192,631,770 oscillations, and one year corresponds to approximately 31,536,000 seconds. From this, one million years corresponds to approximately 3.15 × 10¹³ seconds, seven million years to approximately 2.21 × 10¹⁴ seconds, and sixty-six million years to approximately 2.08 × 10¹⁵ seconds.</w:t>
      </w:r>
    </w:p>
    <w:p w14:paraId="555508BE"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kern w:val="0"/>
          <w14:ligatures w14:val="none"/>
        </w:rPr>
        <w:t>This allows evolution to be expressed as a time-dependent accumulation function:</w:t>
      </w:r>
    </w:p>
    <w:p w14:paraId="3A3D3A44"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kern w:val="0"/>
          <w14:ligatures w14:val="none"/>
        </w:rPr>
        <w:t xml:space="preserve">M(Tₐ) ≈ </w:t>
      </w:r>
      <w:proofErr w:type="spellStart"/>
      <w:r w:rsidRPr="00EE6F07">
        <w:rPr>
          <w:rFonts w:ascii="Times New Roman" w:eastAsia="Times New Roman" w:hAnsi="Times New Roman" w:cs="Times New Roman"/>
          <w:kern w:val="0"/>
          <w14:ligatures w14:val="none"/>
        </w:rPr>
        <w:t>μg</w:t>
      </w:r>
      <w:proofErr w:type="spellEnd"/>
      <w:r w:rsidRPr="00EE6F07">
        <w:rPr>
          <w:rFonts w:ascii="Times New Roman" w:eastAsia="Times New Roman" w:hAnsi="Times New Roman" w:cs="Times New Roman"/>
          <w:kern w:val="0"/>
          <w14:ligatures w14:val="none"/>
        </w:rPr>
        <w:t xml:space="preserve"> × (Tₐ / (g × seconds per year))</w:t>
      </w:r>
    </w:p>
    <w:p w14:paraId="59F102FE"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kern w:val="0"/>
          <w14:ligatures w14:val="none"/>
        </w:rPr>
        <w:t>where accumulated mutations depend on mutation rate per generation, generation time, and total atomic elapsed time.</w:t>
      </w:r>
    </w:p>
    <w:p w14:paraId="0E0C9E45"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b/>
          <w:bCs/>
          <w:kern w:val="0"/>
          <w14:ligatures w14:val="none"/>
        </w:rPr>
        <w:t>Age of Life and Microbial Dominance</w:t>
      </w:r>
    </w:p>
    <w:p w14:paraId="1520884C"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kern w:val="0"/>
          <w14:ligatures w14:val="none"/>
        </w:rPr>
        <w:t xml:space="preserve">Earth is approximately 4.54 billion years old, and the earliest life is estimated </w:t>
      </w:r>
      <w:proofErr w:type="gramStart"/>
      <w:r w:rsidRPr="00EE6F07">
        <w:rPr>
          <w:rFonts w:ascii="Times New Roman" w:eastAsia="Times New Roman" w:hAnsi="Times New Roman" w:cs="Times New Roman"/>
          <w:kern w:val="0"/>
          <w14:ligatures w14:val="none"/>
        </w:rPr>
        <w:t>between</w:t>
      </w:r>
      <w:proofErr w:type="gramEnd"/>
      <w:r w:rsidRPr="00EE6F07">
        <w:rPr>
          <w:rFonts w:ascii="Times New Roman" w:eastAsia="Times New Roman" w:hAnsi="Times New Roman" w:cs="Times New Roman"/>
          <w:kern w:val="0"/>
          <w14:ligatures w14:val="none"/>
        </w:rPr>
        <w:t xml:space="preserve"> 3.5 and 3.7 billion years. Modern microbial abundance is estimated at approximately 10³⁰ cells. Microbial life dominates global biomass and persists across extreme environments, forming a continuous evolutionary substrate.</w:t>
      </w:r>
    </w:p>
    <w:p w14:paraId="1C198D2D"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b/>
          <w:bCs/>
          <w:kern w:val="0"/>
          <w14:ligatures w14:val="none"/>
        </w:rPr>
        <w:t>Mass Extinction and the K–Pg Boundary</w:t>
      </w:r>
    </w:p>
    <w:p w14:paraId="1B49A85A"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kern w:val="0"/>
          <w14:ligatures w14:val="none"/>
        </w:rPr>
        <w:t>The Chicxulub impact approximately 66 million years ago resulted in extinction of roughly 75 percent of species, collapse of large-animal ecosystems, and major disruption of global climate and food chains. However, microbial systems persisted across oceanic, soil, and subsurface environments, indicating that Earth was not sterilized.</w:t>
      </w:r>
    </w:p>
    <w:p w14:paraId="73CC5697"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b/>
          <w:bCs/>
          <w:kern w:val="0"/>
          <w14:ligatures w14:val="none"/>
        </w:rPr>
        <w:t>Human Mutation and Population Dynamics</w:t>
      </w:r>
    </w:p>
    <w:p w14:paraId="0122CD27"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kern w:val="0"/>
          <w14:ligatures w14:val="none"/>
        </w:rPr>
        <w:t>The human mutation rate is approximately 74.5 mutations per generation with a generation time of approximately 25–30 years. Population growth increased from roughly 190 million in 1 CE to over 8 billion today, with long-term growth rates accelerating significantly after 1800.</w:t>
      </w:r>
    </w:p>
    <w:p w14:paraId="2F251308"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b/>
          <w:bCs/>
          <w:kern w:val="0"/>
          <w14:ligatures w14:val="none"/>
        </w:rPr>
        <w:t>Observed Human Evolution Window</w:t>
      </w:r>
    </w:p>
    <w:p w14:paraId="3C57E6C9"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kern w:val="0"/>
          <w14:ligatures w14:val="none"/>
        </w:rPr>
        <w:t>Atomic time provides a universal measurement framework across evolutionary history. Mutation accumulation follows the same functional relationship over time, supported by empirical data showing early hominins at approximately 7 million years and modern humans at approximately 300,000 years. Estimated mutation accumulation aligns with molecular clock models.</w:t>
      </w:r>
    </w:p>
    <w:p w14:paraId="133D79F0"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b/>
          <w:bCs/>
          <w:kern w:val="0"/>
          <w14:ligatures w14:val="none"/>
        </w:rPr>
        <w:lastRenderedPageBreak/>
        <w:t>Theoretical Extension to Deep Time and Unified Evolutionary Model</w:t>
      </w:r>
    </w:p>
    <w:p w14:paraId="387B9DF1"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kern w:val="0"/>
          <w14:ligatures w14:val="none"/>
        </w:rPr>
        <w:t>Although no hominin lineage existed at the time of the Chicxulub impact, the model can be extended hypothetically to 66 million years. Under this framework, mutation accumulation would increase significantly, demonstrating the capacity of time to support large-scale evolutionary divergence. This extension is theoretical and does not imply actual hominin existence during that period.</w:t>
      </w:r>
    </w:p>
    <w:p w14:paraId="7966F167"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kern w:val="0"/>
          <w14:ligatures w14:val="none"/>
        </w:rPr>
        <w:t>A generalized population equation is defined in terms of lineage growth and extinction dynamics, with mutation input influencing diversification and extinction acting as a regulating function.</w:t>
      </w:r>
    </w:p>
    <w:p w14:paraId="7D47E7DD"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b/>
          <w:bCs/>
          <w:kern w:val="0"/>
          <w14:ligatures w14:val="none"/>
        </w:rPr>
        <w:t>CST Interpretation of Evolutionary Time</w:t>
      </w:r>
    </w:p>
    <w:p w14:paraId="4A96F568"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kern w:val="0"/>
          <w14:ligatures w14:val="none"/>
        </w:rPr>
        <w:t>Atomic time represents physical elapsed time, while CST represents a synchronized interpretive time layer. CST is defined as a proportional scaling of atomic time. Within this interpretation, evolution is not a discrete event but a continuous synchronization process in which biological systems adapt incrementally to environmental constraints.</w:t>
      </w:r>
    </w:p>
    <w:p w14:paraId="1C5174D2"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kern w:val="0"/>
          <w14:ligatures w14:val="none"/>
        </w:rPr>
        <w:t>Evolution can be expressed as an integrated process combining mutation input and selection filtering over time. In CST terms, population change is modulated by both growth dynamics and extinction functions.</w:t>
      </w:r>
    </w:p>
    <w:p w14:paraId="7BFB4E30"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b/>
          <w:bCs/>
          <w:kern w:val="0"/>
          <w14:ligatures w14:val="none"/>
        </w:rPr>
        <w:t>Stress, Selection, and Genetic Filtering</w:t>
      </w:r>
    </w:p>
    <w:p w14:paraId="72F38697"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kern w:val="0"/>
          <w14:ligatures w14:val="none"/>
        </w:rPr>
        <w:t>Large-scale events such as the Chicxulub impact act as global selection filters rather than direct mutation drivers. These events produce genetic bottlenecks, eliminate non-adaptive traits, and allow surviving lineages to expand. This supports the interpretation that evolutionary advancement is governed primarily by selection pressure across time rather than mutation speed alone.</w:t>
      </w:r>
    </w:p>
    <w:p w14:paraId="037F3224"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b/>
          <w:bCs/>
          <w:kern w:val="0"/>
          <w14:ligatures w14:val="none"/>
        </w:rPr>
        <w:t>Layered Evolutionary Structure</w:t>
      </w:r>
    </w:p>
    <w:p w14:paraId="41B3361E"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kern w:val="0"/>
          <w14:ligatures w14:val="none"/>
        </w:rPr>
        <w:t>The framework identifies three evolutionary layers. Microbial systems persist continuously over billions of years with large populations and rapid replication. Animal systems emerge later and are vulnerable to extinction resets. Human evolution represents a recent layer characterized by slower mutation rates and measurable population dynamics.</w:t>
      </w:r>
    </w:p>
    <w:p w14:paraId="132FE8BB"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b/>
          <w:bCs/>
          <w:kern w:val="0"/>
          <w14:ligatures w14:val="none"/>
        </w:rPr>
        <w:t>Cross-Species Genetic Continuity and Evolutionary Interpretation</w:t>
      </w:r>
    </w:p>
    <w:p w14:paraId="2FFFFA84"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kern w:val="0"/>
          <w14:ligatures w14:val="none"/>
        </w:rPr>
        <w:t>Modern humans share significant genetic similarity with other species, including high similarity with chimpanzees and measurable Neanderthal DNA contributions in certain populations. This supports gradual divergence rather than isolated origin events.</w:t>
      </w:r>
    </w:p>
    <w:p w14:paraId="0A3A76B8"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kern w:val="0"/>
          <w14:ligatures w14:val="none"/>
        </w:rPr>
        <w:t>Mass extinction events function as selective filters rather than complete biological resets, preserving microbial continuity while pruning higher organisms.</w:t>
      </w:r>
    </w:p>
    <w:p w14:paraId="7FE91F5F"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b/>
          <w:bCs/>
          <w:kern w:val="0"/>
          <w14:ligatures w14:val="none"/>
        </w:rPr>
        <w:lastRenderedPageBreak/>
        <w:t>Discussion</w:t>
      </w:r>
    </w:p>
    <w:p w14:paraId="2D6577FF"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kern w:val="0"/>
          <w14:ligatures w14:val="none"/>
        </w:rPr>
        <w:t>This framework supports the interpretation that atomic time provides a universal ruler for evolutionary processes. Mutation accumulation scales with time, but biological complexity depends on selection and environmental factors. Extinction events regulate complexity without eliminating the continuity of life.</w:t>
      </w:r>
    </w:p>
    <w:p w14:paraId="28B94E7A"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kern w:val="0"/>
          <w14:ligatures w14:val="none"/>
        </w:rPr>
        <w:t>CST provides a conceptual framework for interpreting evolution as a time-integrated and synchronization-driven process. Human evolution represents a late-stage branch within a much deeper biological timeline.</w:t>
      </w:r>
    </w:p>
    <w:p w14:paraId="680453D1"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b/>
          <w:bCs/>
          <w:kern w:val="0"/>
          <w14:ligatures w14:val="none"/>
        </w:rPr>
        <w:t>Conclusion</w:t>
      </w:r>
    </w:p>
    <w:p w14:paraId="09106D4B"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kern w:val="0"/>
          <w14:ligatures w14:val="none"/>
        </w:rPr>
        <w:t xml:space="preserve">Human evolution reflects the accumulation of genetic changes over extensive durations measured in atomic </w:t>
      </w:r>
      <w:proofErr w:type="gramStart"/>
      <w:r w:rsidRPr="00EE6F07">
        <w:rPr>
          <w:rFonts w:ascii="Times New Roman" w:eastAsia="Times New Roman" w:hAnsi="Times New Roman" w:cs="Times New Roman"/>
          <w:kern w:val="0"/>
          <w14:ligatures w14:val="none"/>
        </w:rPr>
        <w:t>time</w:t>
      </w:r>
      <w:proofErr w:type="gramEnd"/>
      <w:r w:rsidRPr="00EE6F07">
        <w:rPr>
          <w:rFonts w:ascii="Times New Roman" w:eastAsia="Times New Roman" w:hAnsi="Times New Roman" w:cs="Times New Roman"/>
          <w:kern w:val="0"/>
          <w14:ligatures w14:val="none"/>
        </w:rPr>
        <w:t>. While theoretical extensions to earlier epochs are not supported by current fossil evidence, they illustrate the capacity of time to support significant biological transformation.</w:t>
      </w:r>
    </w:p>
    <w:p w14:paraId="563D8D18"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kern w:val="0"/>
          <w14:ligatures w14:val="none"/>
        </w:rPr>
        <w:t>Evolution can be modeled as a time-integrated system in which atomic time provides the physical ruler, CST provides interpretive scaling, microbial life forms the persistent foundation, and extinction events act as selective filters shaping long-term complexity.</w:t>
      </w:r>
    </w:p>
    <w:p w14:paraId="125AAA10"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b/>
          <w:bCs/>
          <w:kern w:val="0"/>
          <w14:ligatures w14:val="none"/>
        </w:rPr>
        <w:t>References</w:t>
      </w:r>
    </w:p>
    <w:p w14:paraId="3B3AE135" w14:textId="77777777" w:rsidR="00EE6F07" w:rsidRPr="00EE6F07" w:rsidRDefault="00EE6F07" w:rsidP="00EE6F07">
      <w:pPr>
        <w:spacing w:before="100" w:beforeAutospacing="1" w:after="100" w:afterAutospacing="1" w:line="240" w:lineRule="auto"/>
        <w:rPr>
          <w:rFonts w:ascii="Times New Roman" w:eastAsia="Times New Roman" w:hAnsi="Times New Roman" w:cs="Times New Roman"/>
          <w:kern w:val="0"/>
          <w14:ligatures w14:val="none"/>
        </w:rPr>
      </w:pPr>
      <w:r w:rsidRPr="00EE6F07">
        <w:rPr>
          <w:rFonts w:ascii="Times New Roman" w:eastAsia="Times New Roman" w:hAnsi="Times New Roman" w:cs="Times New Roman"/>
          <w:kern w:val="0"/>
          <w14:ligatures w14:val="none"/>
        </w:rPr>
        <w:t>Scally, A., and Durbin, R. Nature Genetics</w:t>
      </w:r>
      <w:r w:rsidRPr="00EE6F07">
        <w:rPr>
          <w:rFonts w:ascii="Times New Roman" w:eastAsia="Times New Roman" w:hAnsi="Times New Roman" w:cs="Times New Roman"/>
          <w:kern w:val="0"/>
          <w14:ligatures w14:val="none"/>
        </w:rPr>
        <w:br/>
        <w:t>Kong, A. et al. Nature</w:t>
      </w:r>
      <w:r w:rsidRPr="00EE6F07">
        <w:rPr>
          <w:rFonts w:ascii="Times New Roman" w:eastAsia="Times New Roman" w:hAnsi="Times New Roman" w:cs="Times New Roman"/>
          <w:kern w:val="0"/>
          <w14:ligatures w14:val="none"/>
        </w:rPr>
        <w:br/>
        <w:t>Stringer, C. Philosophical Transactions B</w:t>
      </w:r>
      <w:r w:rsidRPr="00EE6F07">
        <w:rPr>
          <w:rFonts w:ascii="Times New Roman" w:eastAsia="Times New Roman" w:hAnsi="Times New Roman" w:cs="Times New Roman"/>
          <w:kern w:val="0"/>
          <w14:ligatures w14:val="none"/>
        </w:rPr>
        <w:br/>
        <w:t>Green, R. et al. Science</w:t>
      </w:r>
      <w:r w:rsidRPr="00EE6F07">
        <w:rPr>
          <w:rFonts w:ascii="Times New Roman" w:eastAsia="Times New Roman" w:hAnsi="Times New Roman" w:cs="Times New Roman"/>
          <w:kern w:val="0"/>
          <w14:ligatures w14:val="none"/>
        </w:rPr>
        <w:br/>
        <w:t>Dalrymple, G. B.</w:t>
      </w:r>
      <w:r w:rsidRPr="00EE6F07">
        <w:rPr>
          <w:rFonts w:ascii="Times New Roman" w:eastAsia="Times New Roman" w:hAnsi="Times New Roman" w:cs="Times New Roman"/>
          <w:kern w:val="0"/>
          <w14:ligatures w14:val="none"/>
        </w:rPr>
        <w:br/>
        <w:t>Schopf, J. W. Science</w:t>
      </w:r>
      <w:r w:rsidRPr="00EE6F07">
        <w:rPr>
          <w:rFonts w:ascii="Times New Roman" w:eastAsia="Times New Roman" w:hAnsi="Times New Roman" w:cs="Times New Roman"/>
          <w:kern w:val="0"/>
          <w14:ligatures w14:val="none"/>
        </w:rPr>
        <w:br/>
      </w:r>
      <w:proofErr w:type="spellStart"/>
      <w:r w:rsidRPr="00EE6F07">
        <w:rPr>
          <w:rFonts w:ascii="Times New Roman" w:eastAsia="Times New Roman" w:hAnsi="Times New Roman" w:cs="Times New Roman"/>
          <w:kern w:val="0"/>
          <w14:ligatures w14:val="none"/>
        </w:rPr>
        <w:t>Nutman</w:t>
      </w:r>
      <w:proofErr w:type="spellEnd"/>
      <w:r w:rsidRPr="00EE6F07">
        <w:rPr>
          <w:rFonts w:ascii="Times New Roman" w:eastAsia="Times New Roman" w:hAnsi="Times New Roman" w:cs="Times New Roman"/>
          <w:kern w:val="0"/>
          <w14:ligatures w14:val="none"/>
        </w:rPr>
        <w:t>, A. P. et al. Nature</w:t>
      </w:r>
      <w:r w:rsidRPr="00EE6F07">
        <w:rPr>
          <w:rFonts w:ascii="Times New Roman" w:eastAsia="Times New Roman" w:hAnsi="Times New Roman" w:cs="Times New Roman"/>
          <w:kern w:val="0"/>
          <w14:ligatures w14:val="none"/>
        </w:rPr>
        <w:br/>
        <w:t>Whitman, W. B. et al. PNAS</w:t>
      </w:r>
      <w:r w:rsidRPr="00EE6F07">
        <w:rPr>
          <w:rFonts w:ascii="Times New Roman" w:eastAsia="Times New Roman" w:hAnsi="Times New Roman" w:cs="Times New Roman"/>
          <w:kern w:val="0"/>
          <w14:ligatures w14:val="none"/>
        </w:rPr>
        <w:br/>
        <w:t xml:space="preserve">Raup, D. M., and </w:t>
      </w:r>
      <w:proofErr w:type="spellStart"/>
      <w:r w:rsidRPr="00EE6F07">
        <w:rPr>
          <w:rFonts w:ascii="Times New Roman" w:eastAsia="Times New Roman" w:hAnsi="Times New Roman" w:cs="Times New Roman"/>
          <w:kern w:val="0"/>
          <w14:ligatures w14:val="none"/>
        </w:rPr>
        <w:t>Sepkoski</w:t>
      </w:r>
      <w:proofErr w:type="spellEnd"/>
      <w:r w:rsidRPr="00EE6F07">
        <w:rPr>
          <w:rFonts w:ascii="Times New Roman" w:eastAsia="Times New Roman" w:hAnsi="Times New Roman" w:cs="Times New Roman"/>
          <w:kern w:val="0"/>
          <w14:ligatures w14:val="none"/>
        </w:rPr>
        <w:t>, J. J. Science</w:t>
      </w:r>
      <w:r w:rsidRPr="00EE6F07">
        <w:rPr>
          <w:rFonts w:ascii="Times New Roman" w:eastAsia="Times New Roman" w:hAnsi="Times New Roman" w:cs="Times New Roman"/>
          <w:kern w:val="0"/>
          <w14:ligatures w14:val="none"/>
        </w:rPr>
        <w:br/>
      </w:r>
      <w:proofErr w:type="spellStart"/>
      <w:r w:rsidRPr="00EE6F07">
        <w:rPr>
          <w:rFonts w:ascii="Times New Roman" w:eastAsia="Times New Roman" w:hAnsi="Times New Roman" w:cs="Times New Roman"/>
          <w:kern w:val="0"/>
          <w14:ligatures w14:val="none"/>
        </w:rPr>
        <w:t>Sepkoski</w:t>
      </w:r>
      <w:proofErr w:type="spellEnd"/>
      <w:r w:rsidRPr="00EE6F07">
        <w:rPr>
          <w:rFonts w:ascii="Times New Roman" w:eastAsia="Times New Roman" w:hAnsi="Times New Roman" w:cs="Times New Roman"/>
          <w:kern w:val="0"/>
          <w14:ligatures w14:val="none"/>
        </w:rPr>
        <w:t>, J. J. Science</w:t>
      </w:r>
      <w:r w:rsidRPr="00EE6F07">
        <w:rPr>
          <w:rFonts w:ascii="Times New Roman" w:eastAsia="Times New Roman" w:hAnsi="Times New Roman" w:cs="Times New Roman"/>
          <w:kern w:val="0"/>
          <w14:ligatures w14:val="none"/>
        </w:rPr>
        <w:br/>
      </w:r>
      <w:proofErr w:type="spellStart"/>
      <w:r w:rsidRPr="00EE6F07">
        <w:rPr>
          <w:rFonts w:ascii="Times New Roman" w:eastAsia="Times New Roman" w:hAnsi="Times New Roman" w:cs="Times New Roman"/>
          <w:kern w:val="0"/>
          <w14:ligatures w14:val="none"/>
        </w:rPr>
        <w:t>Hublin</w:t>
      </w:r>
      <w:proofErr w:type="spellEnd"/>
      <w:r w:rsidRPr="00EE6F07">
        <w:rPr>
          <w:rFonts w:ascii="Times New Roman" w:eastAsia="Times New Roman" w:hAnsi="Times New Roman" w:cs="Times New Roman"/>
          <w:kern w:val="0"/>
          <w14:ligatures w14:val="none"/>
        </w:rPr>
        <w:t>, J. J. et al. Nature</w:t>
      </w:r>
      <w:r w:rsidRPr="00EE6F07">
        <w:rPr>
          <w:rFonts w:ascii="Times New Roman" w:eastAsia="Times New Roman" w:hAnsi="Times New Roman" w:cs="Times New Roman"/>
          <w:kern w:val="0"/>
          <w14:ligatures w14:val="none"/>
        </w:rPr>
        <w:br/>
        <w:t>Our World in Data</w:t>
      </w:r>
    </w:p>
    <w:p w14:paraId="234D83D4" w14:textId="77777777" w:rsidR="003B2438" w:rsidRDefault="003B2438" w:rsidP="00EE6F07"/>
    <w:p w14:paraId="41E36A41" w14:textId="77777777" w:rsidR="00EE6F07" w:rsidRDefault="00EE6F07" w:rsidP="00EE6F07"/>
    <w:p w14:paraId="05F74D03" w14:textId="77777777" w:rsidR="00EE6F07" w:rsidRDefault="00EE6F07" w:rsidP="00EE6F07"/>
    <w:p w14:paraId="17F3B677" w14:textId="77777777" w:rsidR="00EE6F07" w:rsidRDefault="00EE6F07" w:rsidP="00EE6F07"/>
    <w:p w14:paraId="0291C628" w14:textId="77777777" w:rsidR="00EE6F07" w:rsidRDefault="00EE6F07" w:rsidP="00EE6F07"/>
    <w:p w14:paraId="12795A57" w14:textId="4D1EAC9B" w:rsidR="00EE6F07" w:rsidRDefault="00EE6F07" w:rsidP="00EE6F07">
      <w:r>
        <w:lastRenderedPageBreak/>
        <w:t>Diagrams</w:t>
      </w:r>
    </w:p>
    <w:p w14:paraId="5892CF56" w14:textId="27B9C2D5" w:rsidR="00EE6F07" w:rsidRDefault="00EE6F07" w:rsidP="00EE6F07">
      <w:r>
        <w:rPr>
          <w:noProof/>
        </w:rPr>
        <w:drawing>
          <wp:inline distT="0" distB="0" distL="0" distR="0" wp14:anchorId="1C743388" wp14:editId="6C217D6C">
            <wp:extent cx="5943600" cy="3962400"/>
            <wp:effectExtent l="0" t="0" r="0" b="0"/>
            <wp:docPr id="109540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08611" name="Picture 109540861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526D685" w14:textId="53B4AEE3" w:rsidR="00EE6F07" w:rsidRPr="00EE6F07" w:rsidRDefault="00EE6F07" w:rsidP="00EE6F07">
      <w:r>
        <w:rPr>
          <w:noProof/>
        </w:rPr>
        <w:drawing>
          <wp:inline distT="0" distB="0" distL="0" distR="0" wp14:anchorId="55A60E62" wp14:editId="695139C1">
            <wp:extent cx="6125647" cy="2371725"/>
            <wp:effectExtent l="0" t="0" r="8890" b="0"/>
            <wp:docPr id="1384275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75019" name="Picture 1384275019"/>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7776" cy="2372549"/>
                    </a:xfrm>
                    <a:prstGeom prst="rect">
                      <a:avLst/>
                    </a:prstGeom>
                  </pic:spPr>
                </pic:pic>
              </a:graphicData>
            </a:graphic>
          </wp:inline>
        </w:drawing>
      </w:r>
    </w:p>
    <w:sectPr w:rsidR="00EE6F07" w:rsidRPr="00EE6F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DDE"/>
    <w:multiLevelType w:val="multilevel"/>
    <w:tmpl w:val="1C5C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72D87"/>
    <w:multiLevelType w:val="multilevel"/>
    <w:tmpl w:val="ADC0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44513"/>
    <w:multiLevelType w:val="multilevel"/>
    <w:tmpl w:val="3D42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659EC"/>
    <w:multiLevelType w:val="multilevel"/>
    <w:tmpl w:val="EAEA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026EA"/>
    <w:multiLevelType w:val="multilevel"/>
    <w:tmpl w:val="2670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D6DA3"/>
    <w:multiLevelType w:val="multilevel"/>
    <w:tmpl w:val="8F52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42A1C"/>
    <w:multiLevelType w:val="multilevel"/>
    <w:tmpl w:val="4872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324F5"/>
    <w:multiLevelType w:val="multilevel"/>
    <w:tmpl w:val="E644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F1EF3"/>
    <w:multiLevelType w:val="multilevel"/>
    <w:tmpl w:val="0BDC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F766C"/>
    <w:multiLevelType w:val="multilevel"/>
    <w:tmpl w:val="D366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C41E6"/>
    <w:multiLevelType w:val="multilevel"/>
    <w:tmpl w:val="ADD67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652E06"/>
    <w:multiLevelType w:val="multilevel"/>
    <w:tmpl w:val="CAA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906F4A"/>
    <w:multiLevelType w:val="multilevel"/>
    <w:tmpl w:val="8468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305BA1"/>
    <w:multiLevelType w:val="multilevel"/>
    <w:tmpl w:val="0F0C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D16AF5"/>
    <w:multiLevelType w:val="multilevel"/>
    <w:tmpl w:val="00A6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414A72"/>
    <w:multiLevelType w:val="multilevel"/>
    <w:tmpl w:val="7E9A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632E8F"/>
    <w:multiLevelType w:val="multilevel"/>
    <w:tmpl w:val="BB66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1A02C9"/>
    <w:multiLevelType w:val="multilevel"/>
    <w:tmpl w:val="3516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2B331E"/>
    <w:multiLevelType w:val="multilevel"/>
    <w:tmpl w:val="7FB4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CA603D"/>
    <w:multiLevelType w:val="multilevel"/>
    <w:tmpl w:val="C3A4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3976BC"/>
    <w:multiLevelType w:val="multilevel"/>
    <w:tmpl w:val="953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4D1853"/>
    <w:multiLevelType w:val="multilevel"/>
    <w:tmpl w:val="97786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192C5F"/>
    <w:multiLevelType w:val="multilevel"/>
    <w:tmpl w:val="ED96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12611C"/>
    <w:multiLevelType w:val="multilevel"/>
    <w:tmpl w:val="628C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175516"/>
    <w:multiLevelType w:val="multilevel"/>
    <w:tmpl w:val="F604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AC04C5"/>
    <w:multiLevelType w:val="multilevel"/>
    <w:tmpl w:val="6A4E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E03E37"/>
    <w:multiLevelType w:val="multilevel"/>
    <w:tmpl w:val="03FE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A53A8B"/>
    <w:multiLevelType w:val="multilevel"/>
    <w:tmpl w:val="3266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EE0151"/>
    <w:multiLevelType w:val="multilevel"/>
    <w:tmpl w:val="76FC1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212D9B"/>
    <w:multiLevelType w:val="multilevel"/>
    <w:tmpl w:val="B58A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457340"/>
    <w:multiLevelType w:val="multilevel"/>
    <w:tmpl w:val="6318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2502EE"/>
    <w:multiLevelType w:val="multilevel"/>
    <w:tmpl w:val="4A74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7C6454"/>
    <w:multiLevelType w:val="multilevel"/>
    <w:tmpl w:val="90FC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412349"/>
    <w:multiLevelType w:val="multilevel"/>
    <w:tmpl w:val="22B8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FF6098"/>
    <w:multiLevelType w:val="multilevel"/>
    <w:tmpl w:val="0586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5235FE"/>
    <w:multiLevelType w:val="multilevel"/>
    <w:tmpl w:val="36AE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855685">
    <w:abstractNumId w:val="33"/>
  </w:num>
  <w:num w:numId="2" w16cid:durableId="1725178480">
    <w:abstractNumId w:val="5"/>
  </w:num>
  <w:num w:numId="3" w16cid:durableId="1355494555">
    <w:abstractNumId w:val="27"/>
  </w:num>
  <w:num w:numId="4" w16cid:durableId="1637683399">
    <w:abstractNumId w:val="25"/>
  </w:num>
  <w:num w:numId="5" w16cid:durableId="2056848661">
    <w:abstractNumId w:val="24"/>
  </w:num>
  <w:num w:numId="6" w16cid:durableId="974025847">
    <w:abstractNumId w:val="6"/>
  </w:num>
  <w:num w:numId="7" w16cid:durableId="1759206431">
    <w:abstractNumId w:val="20"/>
  </w:num>
  <w:num w:numId="8" w16cid:durableId="1797873063">
    <w:abstractNumId w:val="18"/>
  </w:num>
  <w:num w:numId="9" w16cid:durableId="31928056">
    <w:abstractNumId w:val="3"/>
  </w:num>
  <w:num w:numId="10" w16cid:durableId="1896239006">
    <w:abstractNumId w:val="11"/>
  </w:num>
  <w:num w:numId="11" w16cid:durableId="1564410698">
    <w:abstractNumId w:val="13"/>
  </w:num>
  <w:num w:numId="12" w16cid:durableId="665060980">
    <w:abstractNumId w:val="22"/>
  </w:num>
  <w:num w:numId="13" w16cid:durableId="1186745490">
    <w:abstractNumId w:val="19"/>
  </w:num>
  <w:num w:numId="14" w16cid:durableId="222446389">
    <w:abstractNumId w:val="21"/>
  </w:num>
  <w:num w:numId="15" w16cid:durableId="1556430515">
    <w:abstractNumId w:val="34"/>
  </w:num>
  <w:num w:numId="16" w16cid:durableId="1247110184">
    <w:abstractNumId w:val="7"/>
  </w:num>
  <w:num w:numId="17" w16cid:durableId="1874414574">
    <w:abstractNumId w:val="14"/>
  </w:num>
  <w:num w:numId="18" w16cid:durableId="445124452">
    <w:abstractNumId w:val="15"/>
  </w:num>
  <w:num w:numId="19" w16cid:durableId="896277410">
    <w:abstractNumId w:val="8"/>
  </w:num>
  <w:num w:numId="20" w16cid:durableId="2131775664">
    <w:abstractNumId w:val="17"/>
  </w:num>
  <w:num w:numId="21" w16cid:durableId="833378088">
    <w:abstractNumId w:val="12"/>
  </w:num>
  <w:num w:numId="22" w16cid:durableId="1807966034">
    <w:abstractNumId w:val="28"/>
  </w:num>
  <w:num w:numId="23" w16cid:durableId="1375353218">
    <w:abstractNumId w:val="4"/>
  </w:num>
  <w:num w:numId="24" w16cid:durableId="1874613482">
    <w:abstractNumId w:val="30"/>
  </w:num>
  <w:num w:numId="25" w16cid:durableId="262694408">
    <w:abstractNumId w:val="26"/>
  </w:num>
  <w:num w:numId="26" w16cid:durableId="838883465">
    <w:abstractNumId w:val="35"/>
  </w:num>
  <w:num w:numId="27" w16cid:durableId="2066490006">
    <w:abstractNumId w:val="23"/>
  </w:num>
  <w:num w:numId="28" w16cid:durableId="372926794">
    <w:abstractNumId w:val="9"/>
  </w:num>
  <w:num w:numId="29" w16cid:durableId="603466365">
    <w:abstractNumId w:val="2"/>
  </w:num>
  <w:num w:numId="30" w16cid:durableId="486938818">
    <w:abstractNumId w:val="16"/>
  </w:num>
  <w:num w:numId="31" w16cid:durableId="765467665">
    <w:abstractNumId w:val="31"/>
  </w:num>
  <w:num w:numId="32" w16cid:durableId="1559129152">
    <w:abstractNumId w:val="32"/>
  </w:num>
  <w:num w:numId="33" w16cid:durableId="1015501138">
    <w:abstractNumId w:val="10"/>
  </w:num>
  <w:num w:numId="34" w16cid:durableId="1344549484">
    <w:abstractNumId w:val="0"/>
  </w:num>
  <w:num w:numId="35" w16cid:durableId="1949894441">
    <w:abstractNumId w:val="1"/>
  </w:num>
  <w:num w:numId="36" w16cid:durableId="9090359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F67"/>
    <w:rsid w:val="000A06A8"/>
    <w:rsid w:val="000B25CF"/>
    <w:rsid w:val="003B2438"/>
    <w:rsid w:val="00A52C2F"/>
    <w:rsid w:val="00AC0F67"/>
    <w:rsid w:val="00C253B4"/>
    <w:rsid w:val="00EE6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6A9B0"/>
  <w15:chartTrackingRefBased/>
  <w15:docId w15:val="{E7D6E4D4-CFA3-4BD9-B7E3-33EA5AC3C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F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0F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0F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0F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0F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0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F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0F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0F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0F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0F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0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F67"/>
    <w:rPr>
      <w:rFonts w:eastAsiaTheme="majorEastAsia" w:cstheme="majorBidi"/>
      <w:color w:val="272727" w:themeColor="text1" w:themeTint="D8"/>
    </w:rPr>
  </w:style>
  <w:style w:type="paragraph" w:styleId="Title">
    <w:name w:val="Title"/>
    <w:basedOn w:val="Normal"/>
    <w:next w:val="Normal"/>
    <w:link w:val="TitleChar"/>
    <w:uiPriority w:val="10"/>
    <w:qFormat/>
    <w:rsid w:val="00AC0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F67"/>
    <w:pPr>
      <w:spacing w:before="160"/>
      <w:jc w:val="center"/>
    </w:pPr>
    <w:rPr>
      <w:i/>
      <w:iCs/>
      <w:color w:val="404040" w:themeColor="text1" w:themeTint="BF"/>
    </w:rPr>
  </w:style>
  <w:style w:type="character" w:customStyle="1" w:styleId="QuoteChar">
    <w:name w:val="Quote Char"/>
    <w:basedOn w:val="DefaultParagraphFont"/>
    <w:link w:val="Quote"/>
    <w:uiPriority w:val="29"/>
    <w:rsid w:val="00AC0F67"/>
    <w:rPr>
      <w:i/>
      <w:iCs/>
      <w:color w:val="404040" w:themeColor="text1" w:themeTint="BF"/>
    </w:rPr>
  </w:style>
  <w:style w:type="paragraph" w:styleId="ListParagraph">
    <w:name w:val="List Paragraph"/>
    <w:basedOn w:val="Normal"/>
    <w:uiPriority w:val="34"/>
    <w:qFormat/>
    <w:rsid w:val="00AC0F67"/>
    <w:pPr>
      <w:ind w:left="720"/>
      <w:contextualSpacing/>
    </w:pPr>
  </w:style>
  <w:style w:type="character" w:styleId="IntenseEmphasis">
    <w:name w:val="Intense Emphasis"/>
    <w:basedOn w:val="DefaultParagraphFont"/>
    <w:uiPriority w:val="21"/>
    <w:qFormat/>
    <w:rsid w:val="00AC0F67"/>
    <w:rPr>
      <w:i/>
      <w:iCs/>
      <w:color w:val="0F4761" w:themeColor="accent1" w:themeShade="BF"/>
    </w:rPr>
  </w:style>
  <w:style w:type="paragraph" w:styleId="IntenseQuote">
    <w:name w:val="Intense Quote"/>
    <w:basedOn w:val="Normal"/>
    <w:next w:val="Normal"/>
    <w:link w:val="IntenseQuoteChar"/>
    <w:uiPriority w:val="30"/>
    <w:qFormat/>
    <w:rsid w:val="00AC0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0F67"/>
    <w:rPr>
      <w:i/>
      <w:iCs/>
      <w:color w:val="0F4761" w:themeColor="accent1" w:themeShade="BF"/>
    </w:rPr>
  </w:style>
  <w:style w:type="character" w:styleId="IntenseReference">
    <w:name w:val="Intense Reference"/>
    <w:basedOn w:val="DefaultParagraphFont"/>
    <w:uiPriority w:val="32"/>
    <w:qFormat/>
    <w:rsid w:val="00AC0F67"/>
    <w:rPr>
      <w:b/>
      <w:bCs/>
      <w:smallCaps/>
      <w:color w:val="0F4761" w:themeColor="accent1" w:themeShade="BF"/>
      <w:spacing w:val="5"/>
    </w:rPr>
  </w:style>
  <w:style w:type="paragraph" w:styleId="NoSpacing">
    <w:name w:val="No Spacing"/>
    <w:uiPriority w:val="1"/>
    <w:qFormat/>
    <w:rsid w:val="000A06A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1261</Words>
  <Characters>8026</Characters>
  <Application>Microsoft Office Word</Application>
  <DocSecurity>0</DocSecurity>
  <Lines>140</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Gabino Casanova</dc:creator>
  <cp:keywords/>
  <dc:description/>
  <cp:lastModifiedBy>Gabino Casanova</cp:lastModifiedBy>
  <cp:revision>2</cp:revision>
  <dcterms:created xsi:type="dcterms:W3CDTF">2026-04-16T02:28:00Z</dcterms:created>
  <dcterms:modified xsi:type="dcterms:W3CDTF">2026-04-16T02:53:00Z</dcterms:modified>
</cp:coreProperties>
</file>