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8B634" w14:textId="14687335" w:rsidR="00F0738D" w:rsidRPr="00F0738D" w:rsidRDefault="00F0738D" w:rsidP="00F0738D">
      <w:pPr>
        <w:pStyle w:val="Heading1"/>
        <w:rPr>
          <w:rFonts w:ascii="Times New Roman" w:eastAsia="Times New Roman" w:hAnsi="Times New Roman" w:cs="Times New Roman"/>
          <w:color w:val="auto"/>
          <w:kern w:val="36"/>
          <w:sz w:val="48"/>
          <w:szCs w:val="48"/>
        </w:rPr>
      </w:pPr>
      <w:r w:rsidRPr="00F0738D">
        <w:rPr>
          <w:rFonts w:ascii="Times New Roman" w:eastAsia="Times New Roman" w:hAnsi="Times New Roman" w:cs="Times New Roman"/>
          <w:color w:val="auto"/>
          <w:kern w:val="36"/>
          <w:sz w:val="48"/>
          <w:szCs w:val="48"/>
        </w:rPr>
        <w:t>Purpose Beyond Power: Human Role Transformation in an AI-Driven and Time-Synchronized Future Framework</w:t>
      </w:r>
    </w:p>
    <w:p w14:paraId="7E12E711"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Abstract</w:t>
      </w:r>
    </w:p>
    <w:p w14:paraId="363772E2"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The rapid advancement of artificial intelligence and automation has reignited longstanding concerns regarding the future of human labor, identity, and purpose. While prevailing discourse often frames automation as a threat to employment, this paper argues that technological evolution represents a structural transition rather than a collapse of human relevance. By integrating concepts from automation economics, relativistic time frameworks, and emerging synchronization models such as Cosmic Standard Time, this work proposes that humanity is shifting from a labor-based economy toward an imagination-driven paradigm. In this framework, artificial intelligence performs computation and execution, while humans provide direction, creativity, and ethical orientation. The paper further introduces a conceptual synchronization model linking atomic timekeeping with system-level coordination, offering a potential pathway for future navigation, robotics, and theoretical propulsion systems. The work concludes by outlining testable predictions and constraints, positioning the framework as an early-stage proposal rather than a finalized physical theory.</w:t>
      </w:r>
    </w:p>
    <w:p w14:paraId="083F1DC0" w14:textId="06186C55" w:rsidR="00F0738D" w:rsidRPr="00F0738D" w:rsidRDefault="00F0738D" w:rsidP="00F0738D">
      <w:pPr>
        <w:spacing w:after="0" w:line="240" w:lineRule="auto"/>
        <w:rPr>
          <w:rFonts w:ascii="Times New Roman" w:eastAsia="Times New Roman" w:hAnsi="Times New Roman" w:cs="Times New Roman"/>
          <w:sz w:val="24"/>
          <w:szCs w:val="24"/>
        </w:rPr>
      </w:pPr>
    </w:p>
    <w:p w14:paraId="7864F376"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Introduction</w:t>
      </w:r>
    </w:p>
    <w:p w14:paraId="53DCF638"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Human history has been shaped by cycles of technological disruption. From the agricultural revolution to the industrial era and the digital age, each transformation has redefined labor while preserving the fundamental role of human agency. The current emergence of artificial intelligence and robotics represents the most accelerated transition to date, challenging not only economic structures but also psychological and philosophical foundations of human identity.</w:t>
      </w:r>
    </w:p>
    <w:p w14:paraId="5EDEA20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Fear of automation is not a modern anomaly. It reflects deeply rooted survival mechanisms associated with uncertainty and loss of control. However, empirical evidence from previous technological revolutions suggests that automation consistently reallocates labor rather than eliminating it entirely. This paper extends that perspective by proposing that the current transition is qualitatively different, not because it removes work, but because it shifts the locus of human contribution from execution to intention.</w:t>
      </w:r>
    </w:p>
    <w:p w14:paraId="1DFABEA9" w14:textId="7200B591" w:rsidR="00F0738D" w:rsidRPr="00F0738D" w:rsidRDefault="00F0738D" w:rsidP="00F0738D">
      <w:pPr>
        <w:spacing w:after="0" w:line="240" w:lineRule="auto"/>
        <w:rPr>
          <w:rFonts w:ascii="Times New Roman" w:eastAsia="Times New Roman" w:hAnsi="Times New Roman" w:cs="Times New Roman"/>
          <w:sz w:val="24"/>
          <w:szCs w:val="24"/>
        </w:rPr>
      </w:pPr>
    </w:p>
    <w:p w14:paraId="37712440"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lastRenderedPageBreak/>
        <w:t>Automation and the Evolution of Labor</w:t>
      </w:r>
    </w:p>
    <w:p w14:paraId="0A887056"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Historical analysis demonstrates that technological innovation transforms labor markets by replacing repetitive tasks while generating new domains of expertise. The mechanization of agriculture reduced manual farming labor but gave rise to engineering and industrial management. Similarly, the digital revolution replaced clerical tasks while creating fields such as software development and data science.</w:t>
      </w:r>
    </w:p>
    <w:p w14:paraId="2F4A58DA"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Studies in labor economics indicate that automation tends to complement high-skill cognitive roles while displacing routine activities. Autor has shown that technological change polarizes labor markets, increasing demand for analytical and creative skills while reducing demand for repetitive work (Autor, 2015). Brynjolfsson and McAfee further argue that artificial intelligence accelerates this transition by extending automation into cognitive domains previously considered uniquely human (Brynjolfsson and McAfee, 2014).</w:t>
      </w:r>
    </w:p>
    <w:p w14:paraId="523F7338"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Within this context, the concept of total job extinction is not supported by historical or empirical data. Instead, automation represents a shift in the type of work humans perform. The critical question is not whether humans will work, but what form that work will take.</w:t>
      </w:r>
    </w:p>
    <w:p w14:paraId="51AC2E43"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Time, Synchronization, and System Coordination</w:t>
      </w:r>
    </w:p>
    <w:p w14:paraId="5577AA36"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Modern technological systems rely fundamentally on precise timekeeping. Global Positioning System networks, telecommunications infrastructure, and distributed computing systems depend on synchronized clocks to function accurately. Atomic clocks, particularly those based on cesium standards, provide the foundation for global time coordination (Levine, 2008).</w:t>
      </w:r>
    </w:p>
    <w:p w14:paraId="6AC9CCB4"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In relativistic physics, time is not absolute but varies with velocity and gravitational potential, as described by Einstein’s theory of relativity (Einstein, 1916). These effects are not theoretical abstractions; they are measurable and must be corrected in satellite systems to maintain accuracy.</w:t>
      </w:r>
    </w:p>
    <w:p w14:paraId="5ABF159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This paper introduces a conceptual extension referred to as Cosmic Standard Time, a synchronization framework intended to unify reference timing across distributed systems operating in varying physical conditions. While not a replacement for relativistic physics, it functions as a coordination layer for aligning system clocks across different frames of motion.</w:t>
      </w:r>
    </w:p>
    <w:p w14:paraId="6FAC39F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At its simplest level, synchronization can be expressed as a timing difference:</w:t>
      </w:r>
    </w:p>
    <w:p w14:paraId="3D38991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system</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reference</m:t>
              </m:r>
            </m:sub>
          </m:sSub>
        </m:oMath>
      </m:oMathPara>
    </w:p>
    <w:p w14:paraId="3F55D19C"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lastRenderedPageBreak/>
        <w:t>Where the goal of a control system is to minimize this difference across interacting components. Such synchronization principles are already used in control theory, robotics, and networked systems, suggesting a pathway for extending timing coordination into more complex environments, including space navigation and autonomous systems.</w:t>
      </w:r>
    </w:p>
    <w:p w14:paraId="5C9C3DDF"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Human–AI Complementarity</w:t>
      </w:r>
    </w:p>
    <w:p w14:paraId="70FE8766"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Artificial intelligence excels at pattern recognition, optimization, and large-scale computation. However, it lacks intrinsic intentionality, subjective experience, and the capacity for independent meaning-making. Human cognition, by contrast, is uniquely capable of imagination, abstraction beyond data, and value-based decision-making.</w:t>
      </w:r>
    </w:p>
    <w:p w14:paraId="6F9D49C4"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This distinction suggests a complementary relationship rather than a competitive one. In such a system:</w:t>
      </w:r>
    </w:p>
    <w:p w14:paraId="0023CBD5" w14:textId="77777777" w:rsidR="00F0738D" w:rsidRPr="00F0738D" w:rsidRDefault="00F0738D" w:rsidP="00F073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AI performs execution, simulation, and optimization </w:t>
      </w:r>
    </w:p>
    <w:p w14:paraId="784F65F2" w14:textId="77777777" w:rsidR="00F0738D" w:rsidRPr="00F0738D" w:rsidRDefault="00F0738D" w:rsidP="00F073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Time synchronization frameworks coordinate system behavior </w:t>
      </w:r>
    </w:p>
    <w:p w14:paraId="1906DE44" w14:textId="77777777" w:rsidR="00F0738D" w:rsidRPr="00F0738D" w:rsidRDefault="00F0738D" w:rsidP="00F073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Humans provide direction, purpose, and creative input </w:t>
      </w:r>
    </w:p>
    <w:p w14:paraId="3789A76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Floridi describes this transition as a shift toward “onlife” systems, where human and artificial agents operate in integrated informational environments (Floridi, 2014). Within this paradigm, human relevance is not diminished but redefined.</w:t>
      </w:r>
    </w:p>
    <w:p w14:paraId="796D5259"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The Imagination Economy</w:t>
      </w:r>
    </w:p>
    <w:p w14:paraId="71FD0D93"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As automation reduces the necessity of human labor in production, economic value increasingly shifts toward creativity, innovation, and conceptual development. This emerging structure can be described as an imagination-based economy, in which the primary human contribution is not physical output but the generation of ideas and goals.</w:t>
      </w:r>
    </w:p>
    <w:p w14:paraId="13FEBA50" w14:textId="12D0D760"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Unlike material wealth, which is finite and transferable, imagination is non-rival and generative. It expands rather than depletes with use. </w:t>
      </w:r>
      <w:r w:rsidRPr="00F0738D">
        <w:rPr>
          <w:rFonts w:ascii="Times New Roman" w:eastAsia="Times New Roman" w:hAnsi="Times New Roman" w:cs="Times New Roman"/>
          <w:sz w:val="24"/>
          <w:szCs w:val="24"/>
        </w:rPr>
        <w:t>These characteristic positions</w:t>
      </w:r>
      <w:r w:rsidRPr="00F0738D">
        <w:rPr>
          <w:rFonts w:ascii="Times New Roman" w:eastAsia="Times New Roman" w:hAnsi="Times New Roman" w:cs="Times New Roman"/>
          <w:sz w:val="24"/>
          <w:szCs w:val="24"/>
        </w:rPr>
        <w:t xml:space="preserve"> human creativity as a central resource in a post-automation society.</w:t>
      </w:r>
    </w:p>
    <w:p w14:paraId="2E3E56EC"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The transition to such an economy does not eliminate the need for work but transforms its nature. Activities such as scientific exploration, artistic creation, ethical design, and interstellar navigation become primary domains of human engagement.</w:t>
      </w:r>
    </w:p>
    <w:p w14:paraId="289956A1" w14:textId="70E3285B" w:rsidR="00F0738D" w:rsidRDefault="00F0738D" w:rsidP="00F0738D">
      <w:pPr>
        <w:spacing w:after="0" w:line="240" w:lineRule="auto"/>
        <w:rPr>
          <w:rFonts w:ascii="Times New Roman" w:eastAsia="Times New Roman" w:hAnsi="Times New Roman" w:cs="Times New Roman"/>
          <w:sz w:val="24"/>
          <w:szCs w:val="24"/>
        </w:rPr>
      </w:pPr>
    </w:p>
    <w:p w14:paraId="16CA1BD0" w14:textId="77777777" w:rsidR="00F0738D" w:rsidRDefault="00F0738D" w:rsidP="00F0738D">
      <w:pPr>
        <w:spacing w:after="0" w:line="240" w:lineRule="auto"/>
        <w:rPr>
          <w:rFonts w:ascii="Times New Roman" w:eastAsia="Times New Roman" w:hAnsi="Times New Roman" w:cs="Times New Roman"/>
          <w:sz w:val="24"/>
          <w:szCs w:val="24"/>
        </w:rPr>
      </w:pPr>
    </w:p>
    <w:p w14:paraId="3C12AEAD" w14:textId="77777777" w:rsidR="00F0738D" w:rsidRDefault="00F0738D" w:rsidP="00F0738D">
      <w:pPr>
        <w:spacing w:after="0" w:line="240" w:lineRule="auto"/>
        <w:rPr>
          <w:rFonts w:ascii="Times New Roman" w:eastAsia="Times New Roman" w:hAnsi="Times New Roman" w:cs="Times New Roman"/>
          <w:sz w:val="24"/>
          <w:szCs w:val="24"/>
        </w:rPr>
      </w:pPr>
    </w:p>
    <w:p w14:paraId="0165963E" w14:textId="77777777" w:rsidR="00F0738D" w:rsidRDefault="00F0738D" w:rsidP="00F0738D">
      <w:pPr>
        <w:spacing w:after="0" w:line="240" w:lineRule="auto"/>
        <w:rPr>
          <w:rFonts w:ascii="Times New Roman" w:eastAsia="Times New Roman" w:hAnsi="Times New Roman" w:cs="Times New Roman"/>
          <w:sz w:val="24"/>
          <w:szCs w:val="24"/>
        </w:rPr>
      </w:pPr>
    </w:p>
    <w:p w14:paraId="37788699" w14:textId="77777777" w:rsidR="00F0738D" w:rsidRDefault="00F0738D" w:rsidP="00F0738D">
      <w:pPr>
        <w:spacing w:after="0" w:line="240" w:lineRule="auto"/>
        <w:rPr>
          <w:rFonts w:ascii="Times New Roman" w:eastAsia="Times New Roman" w:hAnsi="Times New Roman" w:cs="Times New Roman"/>
          <w:sz w:val="24"/>
          <w:szCs w:val="24"/>
        </w:rPr>
      </w:pPr>
    </w:p>
    <w:p w14:paraId="477C45B8" w14:textId="77777777" w:rsidR="00F0738D" w:rsidRPr="00F0738D" w:rsidRDefault="00F0738D" w:rsidP="00F0738D">
      <w:pPr>
        <w:spacing w:after="0" w:line="240" w:lineRule="auto"/>
        <w:rPr>
          <w:rFonts w:ascii="Times New Roman" w:eastAsia="Times New Roman" w:hAnsi="Times New Roman" w:cs="Times New Roman"/>
          <w:sz w:val="24"/>
          <w:szCs w:val="24"/>
        </w:rPr>
      </w:pPr>
    </w:p>
    <w:p w14:paraId="1D9D2F7D"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lastRenderedPageBreak/>
        <w:t>System Framework Diagram</w:t>
      </w:r>
    </w:p>
    <w:p w14:paraId="32338F73" w14:textId="77777777" w:rsidR="00F0738D" w:rsidRPr="00F0738D" w:rsidRDefault="00F0738D" w:rsidP="00F0738D">
      <w:pPr>
        <w:spacing w:after="0" w:line="240" w:lineRule="auto"/>
        <w:jc w:val="center"/>
        <w:rPr>
          <w:rFonts w:ascii="Times New Roman" w:eastAsia="Times New Roman" w:hAnsi="Times New Roman" w:cs="Times New Roman"/>
          <w:sz w:val="24"/>
          <w:szCs w:val="24"/>
        </w:rPr>
      </w:pPr>
      <w:r w:rsidRPr="00F0738D">
        <w:rPr>
          <w:rFonts w:ascii="Times New Roman" w:eastAsia="Times New Roman" w:hAnsi="Times New Roman" w:cs="Times New Roman"/>
          <w:noProof/>
          <w:sz w:val="24"/>
          <w:szCs w:val="24"/>
        </w:rPr>
        <w:drawing>
          <wp:inline distT="0" distB="0" distL="0" distR="0" wp14:anchorId="16B1BF1F" wp14:editId="75C18D64">
            <wp:extent cx="3114675" cy="2197262"/>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5500" cy="2204899"/>
                    </a:xfrm>
                    <a:prstGeom prst="rect">
                      <a:avLst/>
                    </a:prstGeom>
                    <a:noFill/>
                    <a:ln>
                      <a:noFill/>
                    </a:ln>
                  </pic:spPr>
                </pic:pic>
              </a:graphicData>
            </a:graphic>
          </wp:inline>
        </w:drawing>
      </w:r>
    </w:p>
    <w:p w14:paraId="7F12FBBA" w14:textId="77777777" w:rsidR="00F0738D" w:rsidRPr="00F0738D" w:rsidRDefault="00F0738D" w:rsidP="00F0738D">
      <w:pPr>
        <w:spacing w:after="0" w:line="240" w:lineRule="auto"/>
        <w:jc w:val="center"/>
        <w:rPr>
          <w:rFonts w:ascii="Times New Roman" w:eastAsia="Times New Roman" w:hAnsi="Times New Roman" w:cs="Times New Roman"/>
          <w:sz w:val="24"/>
          <w:szCs w:val="24"/>
        </w:rPr>
      </w:pPr>
      <w:r w:rsidRPr="00F0738D">
        <w:rPr>
          <w:rFonts w:ascii="Times New Roman" w:eastAsia="Times New Roman" w:hAnsi="Times New Roman" w:cs="Times New Roman"/>
          <w:noProof/>
          <w:sz w:val="24"/>
          <w:szCs w:val="24"/>
        </w:rPr>
        <w:drawing>
          <wp:inline distT="0" distB="0" distL="0" distR="0" wp14:anchorId="1020B2F2" wp14:editId="3BF72C3A">
            <wp:extent cx="3305175" cy="2314575"/>
            <wp:effectExtent l="0" t="0" r="9525"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5175" cy="2314575"/>
                    </a:xfrm>
                    <a:prstGeom prst="rect">
                      <a:avLst/>
                    </a:prstGeom>
                    <a:noFill/>
                    <a:ln>
                      <a:noFill/>
                    </a:ln>
                  </pic:spPr>
                </pic:pic>
              </a:graphicData>
            </a:graphic>
          </wp:inline>
        </w:drawing>
      </w:r>
    </w:p>
    <w:p w14:paraId="164FFD51" w14:textId="77777777" w:rsidR="00F0738D" w:rsidRPr="00F0738D" w:rsidRDefault="00F0738D" w:rsidP="00F0738D">
      <w:pPr>
        <w:spacing w:after="0" w:line="240" w:lineRule="auto"/>
        <w:jc w:val="center"/>
        <w:rPr>
          <w:rFonts w:ascii="Times New Roman" w:eastAsia="Times New Roman" w:hAnsi="Times New Roman" w:cs="Times New Roman"/>
          <w:sz w:val="24"/>
          <w:szCs w:val="24"/>
        </w:rPr>
      </w:pPr>
      <w:r w:rsidRPr="00F0738D">
        <w:rPr>
          <w:rFonts w:ascii="Times New Roman" w:eastAsia="Times New Roman" w:hAnsi="Times New Roman" w:cs="Times New Roman"/>
          <w:noProof/>
          <w:sz w:val="24"/>
          <w:szCs w:val="24"/>
        </w:rPr>
        <w:drawing>
          <wp:inline distT="0" distB="0" distL="0" distR="0" wp14:anchorId="5F797EE6" wp14:editId="4DD03616">
            <wp:extent cx="2777736" cy="2809875"/>
            <wp:effectExtent l="0" t="0" r="381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460" cy="2813642"/>
                    </a:xfrm>
                    <a:prstGeom prst="rect">
                      <a:avLst/>
                    </a:prstGeom>
                    <a:noFill/>
                    <a:ln>
                      <a:noFill/>
                    </a:ln>
                  </pic:spPr>
                </pic:pic>
              </a:graphicData>
            </a:graphic>
          </wp:inline>
        </w:drawing>
      </w:r>
    </w:p>
    <w:p w14:paraId="15B5D1E3" w14:textId="77777777" w:rsidR="00F0738D" w:rsidRPr="00F0738D" w:rsidRDefault="00F0738D" w:rsidP="00F0738D">
      <w:pPr>
        <w:spacing w:after="0"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5</w:t>
      </w:r>
    </w:p>
    <w:p w14:paraId="7B41B38C"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b/>
          <w:bCs/>
          <w:sz w:val="24"/>
          <w:szCs w:val="24"/>
        </w:rPr>
        <w:lastRenderedPageBreak/>
        <w:t>Figure: Conceptual interaction between human intention, AI computation, and time synchronization systems.</w:t>
      </w:r>
    </w:p>
    <w:p w14:paraId="5796A3DA"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Testable Predictions</w:t>
      </w:r>
    </w:p>
    <w:p w14:paraId="4918B3B8"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For this framework to move beyond conceptual speculation, it must generate testable outcomes:</w:t>
      </w:r>
    </w:p>
    <w:p w14:paraId="53B3654C" w14:textId="77777777" w:rsidR="00F0738D" w:rsidRPr="00F0738D" w:rsidRDefault="00F0738D" w:rsidP="00F07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Economies with higher levels of automation will show increased demand for creative and analytical roles relative to routine labor </w:t>
      </w:r>
    </w:p>
    <w:p w14:paraId="2441EB14" w14:textId="77777777" w:rsidR="00F0738D" w:rsidRPr="00F0738D" w:rsidRDefault="00F0738D" w:rsidP="00F07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Human-AI collaborative systems will outperform fully autonomous systems in complex, open-ended problem environments </w:t>
      </w:r>
    </w:p>
    <w:p w14:paraId="0FE42946" w14:textId="77777777" w:rsidR="00F0738D" w:rsidRPr="00F0738D" w:rsidRDefault="00F0738D" w:rsidP="00F07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Time-synchronized distributed systems will demonstrate improved stability and coordination compared to unsynchronized systems </w:t>
      </w:r>
    </w:p>
    <w:p w14:paraId="3F100F16" w14:textId="77777777" w:rsidR="00F0738D" w:rsidRPr="00F0738D" w:rsidRDefault="00F0738D" w:rsidP="00F07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Educational systems emphasizing creativity and systems thinking will produce higher adaptability in automated economies </w:t>
      </w:r>
    </w:p>
    <w:p w14:paraId="661FA2B8"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These predictions can be evaluated through economic data, controlled experiments, and simulation environments.</w:t>
      </w:r>
    </w:p>
    <w:p w14:paraId="64B266AD"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Constraints and Limitations</w:t>
      </w:r>
    </w:p>
    <w:p w14:paraId="2B19FA8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This framework operates within several important limitations:</w:t>
      </w:r>
    </w:p>
    <w:p w14:paraId="1EACD44D" w14:textId="77777777" w:rsidR="00F0738D" w:rsidRPr="00F0738D" w:rsidRDefault="00F0738D" w:rsidP="00F073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Artificial intelligence remains dependent on data and lacks independent consciousness or intrinsic motivation </w:t>
      </w:r>
    </w:p>
    <w:p w14:paraId="67595DD8" w14:textId="77777777" w:rsidR="00F0738D" w:rsidRPr="00F0738D" w:rsidRDefault="00F0738D" w:rsidP="00F073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Faster-than-light travel and warp-based propulsion remain theoretical and lack experimental validation </w:t>
      </w:r>
    </w:p>
    <w:p w14:paraId="6A72196F" w14:textId="77777777" w:rsidR="00F0738D" w:rsidRPr="00F0738D" w:rsidRDefault="00F0738D" w:rsidP="00F073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Cosmic Standard Time is a conceptual coordination framework and not a replacement for established physical theories </w:t>
      </w:r>
    </w:p>
    <w:p w14:paraId="36469BBB" w14:textId="77777777" w:rsidR="00F0738D" w:rsidRPr="00F0738D" w:rsidRDefault="00F0738D" w:rsidP="00F073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Economic transitions may produce temporary inequality and disruption before stabilization </w:t>
      </w:r>
    </w:p>
    <w:p w14:paraId="4DD117B2"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Recognizing these constraints is essential for maintaining scientific credibility.</w:t>
      </w:r>
    </w:p>
    <w:p w14:paraId="759D0E02"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Conclusion</w:t>
      </w:r>
    </w:p>
    <w:p w14:paraId="252F5704"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The rise of artificial intelligence and automation does not signify the end of human purpose but its transformation. Historical patterns indicate that technology shifts the structure of labor while preserving the necessity of human contribution. In the emerging paradigm, that contribution moves from execution to intention, from repetition to imagination.</w:t>
      </w:r>
    </w:p>
    <w:p w14:paraId="242A0AB3"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 xml:space="preserve">By integrating synchronization frameworks, computational systems, and human creativity, a new model of civilization becomes possible. In this model, humans are not </w:t>
      </w:r>
      <w:r w:rsidRPr="00F0738D">
        <w:rPr>
          <w:rFonts w:ascii="Times New Roman" w:eastAsia="Times New Roman" w:hAnsi="Times New Roman" w:cs="Times New Roman"/>
          <w:sz w:val="24"/>
          <w:szCs w:val="24"/>
        </w:rPr>
        <w:lastRenderedPageBreak/>
        <w:t>replaced by machines but elevated into roles defined by direction, exploration, and meaning.</w:t>
      </w:r>
    </w:p>
    <w:p w14:paraId="7BE92B1F"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The future is not a world without work, but a world in which the nature of work reflects the highest capabilities of human cognition.</w:t>
      </w:r>
    </w:p>
    <w:p w14:paraId="3B284A02" w14:textId="77777777" w:rsidR="00F0738D" w:rsidRPr="00F0738D" w:rsidRDefault="00F0738D" w:rsidP="00F0738D">
      <w:pPr>
        <w:spacing w:after="0"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pict w14:anchorId="14A43883">
          <v:rect id="_x0000_i1034" style="width:0;height:1.5pt" o:hralign="center" o:hrstd="t" o:hr="t" fillcolor="#a0a0a0" stroked="f"/>
        </w:pict>
      </w:r>
    </w:p>
    <w:p w14:paraId="13AC1169" w14:textId="77777777" w:rsidR="00F0738D" w:rsidRPr="00F0738D" w:rsidRDefault="00F0738D" w:rsidP="00F0738D">
      <w:pPr>
        <w:spacing w:before="100" w:beforeAutospacing="1" w:after="100" w:afterAutospacing="1" w:line="240" w:lineRule="auto"/>
        <w:outlineLvl w:val="1"/>
        <w:rPr>
          <w:rFonts w:ascii="Times New Roman" w:eastAsia="Times New Roman" w:hAnsi="Times New Roman" w:cs="Times New Roman"/>
          <w:b/>
          <w:bCs/>
          <w:sz w:val="36"/>
          <w:szCs w:val="36"/>
        </w:rPr>
      </w:pPr>
      <w:r w:rsidRPr="00F0738D">
        <w:rPr>
          <w:rFonts w:ascii="Times New Roman" w:eastAsia="Times New Roman" w:hAnsi="Times New Roman" w:cs="Times New Roman"/>
          <w:b/>
          <w:bCs/>
          <w:sz w:val="36"/>
          <w:szCs w:val="36"/>
        </w:rPr>
        <w:t>References</w:t>
      </w:r>
    </w:p>
    <w:p w14:paraId="4B24A516"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Autor, D. H. The Skill Content of Recent Technological Change. Journal of Economic Perspectives, 2015</w:t>
      </w:r>
    </w:p>
    <w:p w14:paraId="57DE22D2"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Brynjolfsson, E., and McAfee, A. The Second Machine Age. W. W. Norton &amp; Company, 2014</w:t>
      </w:r>
    </w:p>
    <w:p w14:paraId="7FEAA65B"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Einstein, A. The Foundation of the General Theory of Relativity. Annalen der Physik, 1916</w:t>
      </w:r>
    </w:p>
    <w:p w14:paraId="67FCE99E"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Levine, J. Introduction to Time and Frequency Metrology. Review of Scientific Instruments, 2008</w:t>
      </w:r>
    </w:p>
    <w:p w14:paraId="6C9B3647" w14:textId="77777777" w:rsidR="00F0738D" w:rsidRPr="00F0738D" w:rsidRDefault="00F0738D" w:rsidP="00F0738D">
      <w:pPr>
        <w:spacing w:before="100" w:beforeAutospacing="1" w:after="100" w:afterAutospacing="1" w:line="240" w:lineRule="auto"/>
        <w:rPr>
          <w:rFonts w:ascii="Times New Roman" w:eastAsia="Times New Roman" w:hAnsi="Times New Roman" w:cs="Times New Roman"/>
          <w:sz w:val="24"/>
          <w:szCs w:val="24"/>
        </w:rPr>
      </w:pPr>
      <w:r w:rsidRPr="00F0738D">
        <w:rPr>
          <w:rFonts w:ascii="Times New Roman" w:eastAsia="Times New Roman" w:hAnsi="Times New Roman" w:cs="Times New Roman"/>
          <w:sz w:val="24"/>
          <w:szCs w:val="24"/>
        </w:rPr>
        <w:t>Floridi, L. The Fourth Revolution: How the Infosphere is Reshaping Human Reality. Oxford University Press, 2014</w:t>
      </w:r>
    </w:p>
    <w:p w14:paraId="2794E8A6" w14:textId="197E2081" w:rsidR="00F0738D" w:rsidRPr="00F0738D" w:rsidRDefault="00F0738D" w:rsidP="00F0738D">
      <w:pPr>
        <w:tabs>
          <w:tab w:val="left" w:pos="480"/>
        </w:tabs>
        <w:rPr>
          <w:bCs/>
          <w:iCs/>
        </w:rPr>
      </w:pPr>
    </w:p>
    <w:p w14:paraId="2BE80A09" w14:textId="12C1959A" w:rsidR="00E3142C" w:rsidRDefault="00000000">
      <w:pPr>
        <w:jc w:val="center"/>
      </w:pPr>
      <w:r>
        <w:rPr>
          <w:b/>
          <w:i/>
        </w:rPr>
        <w:t>“Even a robot without a purpose prefers to die, as a human loses their purpose of existing.”</w:t>
      </w:r>
    </w:p>
    <w:sectPr w:rsidR="00E3142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CE11" w14:textId="77777777" w:rsidR="00914BE7" w:rsidRDefault="00914BE7" w:rsidP="00F0738D">
      <w:pPr>
        <w:spacing w:after="0" w:line="240" w:lineRule="auto"/>
      </w:pPr>
      <w:r>
        <w:separator/>
      </w:r>
    </w:p>
  </w:endnote>
  <w:endnote w:type="continuationSeparator" w:id="0">
    <w:p w14:paraId="6A69F8E0" w14:textId="77777777" w:rsidR="00914BE7" w:rsidRDefault="00914BE7" w:rsidP="00F07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800F" w14:textId="77777777" w:rsidR="00914BE7" w:rsidRDefault="00914BE7" w:rsidP="00F0738D">
      <w:pPr>
        <w:spacing w:after="0" w:line="240" w:lineRule="auto"/>
      </w:pPr>
      <w:r>
        <w:separator/>
      </w:r>
    </w:p>
  </w:footnote>
  <w:footnote w:type="continuationSeparator" w:id="0">
    <w:p w14:paraId="7DC27844" w14:textId="77777777" w:rsidR="00914BE7" w:rsidRDefault="00914BE7" w:rsidP="00F07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8301F2"/>
    <w:multiLevelType w:val="multilevel"/>
    <w:tmpl w:val="999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0355A"/>
    <w:multiLevelType w:val="multilevel"/>
    <w:tmpl w:val="DBF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87D61"/>
    <w:multiLevelType w:val="multilevel"/>
    <w:tmpl w:val="8C0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8398">
    <w:abstractNumId w:val="8"/>
  </w:num>
  <w:num w:numId="2" w16cid:durableId="2042321931">
    <w:abstractNumId w:val="6"/>
  </w:num>
  <w:num w:numId="3" w16cid:durableId="1078946280">
    <w:abstractNumId w:val="5"/>
  </w:num>
  <w:num w:numId="4" w16cid:durableId="228005571">
    <w:abstractNumId w:val="4"/>
  </w:num>
  <w:num w:numId="5" w16cid:durableId="318077980">
    <w:abstractNumId w:val="7"/>
  </w:num>
  <w:num w:numId="6" w16cid:durableId="495000684">
    <w:abstractNumId w:val="3"/>
  </w:num>
  <w:num w:numId="7" w16cid:durableId="1420952558">
    <w:abstractNumId w:val="2"/>
  </w:num>
  <w:num w:numId="8" w16cid:durableId="930116622">
    <w:abstractNumId w:val="1"/>
  </w:num>
  <w:num w:numId="9" w16cid:durableId="1137990976">
    <w:abstractNumId w:val="0"/>
  </w:num>
  <w:num w:numId="10" w16cid:durableId="1754475521">
    <w:abstractNumId w:val="9"/>
  </w:num>
  <w:num w:numId="11" w16cid:durableId="633751351">
    <w:abstractNumId w:val="11"/>
  </w:num>
  <w:num w:numId="12" w16cid:durableId="552350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CD6"/>
    <w:rsid w:val="00914BE7"/>
    <w:rsid w:val="00AA1D8D"/>
    <w:rsid w:val="00B47730"/>
    <w:rsid w:val="00CB0664"/>
    <w:rsid w:val="00E3142C"/>
    <w:rsid w:val="00F073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2EB74"/>
  <w14:defaultImageDpi w14:val="300"/>
  <w15:docId w15:val="{77C3BAA4-AABA-4185-B1FA-2F8A030F4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1491</Words>
  <Characters>8086</Characters>
  <Application>Microsoft Office Word</Application>
  <DocSecurity>0</DocSecurity>
  <Lines>139</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2026-04-13T16:20:00Z</dcterms:modified>
  <cp:category/>
</cp:coreProperties>
</file>