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EDCE" w14:textId="77777777" w:rsidR="007B503F" w:rsidRPr="007B503F" w:rsidRDefault="007B503F" w:rsidP="007B503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B503F">
        <w:rPr>
          <w:rFonts w:ascii="Times New Roman" w:eastAsia="Times New Roman" w:hAnsi="Times New Roman" w:cs="Times New Roman"/>
          <w:b/>
          <w:bCs/>
          <w:kern w:val="36"/>
          <w:sz w:val="40"/>
          <w:szCs w:val="40"/>
        </w:rPr>
        <w:t>Recalibrating Ancient Time Systems: The Antikythera Mechanism, Lost Civilizations, and Implications for Advanced Navigation Models</w:t>
      </w:r>
    </w:p>
    <w:p w14:paraId="6E49A34B" w14:textId="1500CC85"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b/>
          <w:bCs/>
          <w:sz w:val="24"/>
          <w:szCs w:val="24"/>
        </w:rPr>
        <w:t>Author:</w:t>
      </w:r>
      <w:r w:rsidRPr="007B503F">
        <w:rPr>
          <w:rFonts w:ascii="Times New Roman" w:eastAsia="Times New Roman" w:hAnsi="Times New Roman" w:cs="Times New Roman"/>
          <w:sz w:val="24"/>
          <w:szCs w:val="24"/>
        </w:rPr>
        <w:t xml:space="preserve"> Gabino Casanova</w:t>
      </w:r>
      <w:r w:rsidRPr="007B503F">
        <w:rPr>
          <w:rFonts w:ascii="Times New Roman" w:eastAsia="Times New Roman" w:hAnsi="Times New Roman" w:cs="Times New Roman"/>
          <w:sz w:val="24"/>
          <w:szCs w:val="24"/>
        </w:rPr>
        <w:br/>
      </w:r>
      <w:r w:rsidRPr="007B503F">
        <w:rPr>
          <w:rFonts w:ascii="Times New Roman" w:eastAsia="Times New Roman" w:hAnsi="Times New Roman" w:cs="Times New Roman"/>
          <w:b/>
          <w:bCs/>
          <w:sz w:val="24"/>
          <w:szCs w:val="24"/>
        </w:rPr>
        <w:t>Classification:</w:t>
      </w:r>
      <w:r w:rsidRPr="007B503F">
        <w:rPr>
          <w:rFonts w:ascii="Times New Roman" w:eastAsia="Times New Roman" w:hAnsi="Times New Roman" w:cs="Times New Roman"/>
          <w:sz w:val="24"/>
          <w:szCs w:val="24"/>
        </w:rPr>
        <w:t xml:space="preserve"> Exploratory Physics &amp; </w:t>
      </w:r>
      <w:r w:rsidRPr="007B503F">
        <w:rPr>
          <w:rFonts w:ascii="Times New Roman" w:eastAsia="Times New Roman" w:hAnsi="Times New Roman" w:cs="Times New Roman"/>
          <w:sz w:val="24"/>
          <w:szCs w:val="24"/>
        </w:rPr>
        <w:t>Archeoastronomy</w:t>
      </w:r>
      <w:r w:rsidRPr="007B503F">
        <w:rPr>
          <w:rFonts w:ascii="Times New Roman" w:eastAsia="Times New Roman" w:hAnsi="Times New Roman" w:cs="Times New Roman"/>
          <w:sz w:val="24"/>
          <w:szCs w:val="24"/>
        </w:rPr>
        <w:t xml:space="preserve"> (Theory Proposal)</w:t>
      </w:r>
    </w:p>
    <w:p w14:paraId="1A67EAD9" w14:textId="77777777"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Abstract</w:t>
      </w:r>
    </w:p>
    <w:p w14:paraId="1FA95582"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The Antikythera Mechanism is widely regarded as the earliest known analog computational device, capable of modeling celestial cycles. This paper proposes a reinterpretation: that when recalibrated using modern computational methods, the mechanism may encode a deeper cosmological time reference. Building on this premise, the study explores three claims: (1) a potential calendar displacement between modern systems and ancient astronomical cycles, (2) the reconstruction of historical timelines through celestial alignment modeling, and (3) a speculative extension into navigation frameworks for high-precision or relativistic travel systems. This work is presented as a </w:t>
      </w:r>
      <w:r w:rsidRPr="007B503F">
        <w:rPr>
          <w:rFonts w:ascii="Times New Roman" w:eastAsia="Times New Roman" w:hAnsi="Times New Roman" w:cs="Times New Roman"/>
          <w:b/>
          <w:bCs/>
          <w:sz w:val="24"/>
          <w:szCs w:val="24"/>
        </w:rPr>
        <w:t>theory-driven exploratory model</w:t>
      </w:r>
      <w:r w:rsidRPr="007B503F">
        <w:rPr>
          <w:rFonts w:ascii="Times New Roman" w:eastAsia="Times New Roman" w:hAnsi="Times New Roman" w:cs="Times New Roman"/>
          <w:sz w:val="24"/>
          <w:szCs w:val="24"/>
        </w:rPr>
        <w:t>, not as a validated physical framework.</w:t>
      </w:r>
    </w:p>
    <w:p w14:paraId="0B88CE37" w14:textId="1A49B599"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Introduction</w:t>
      </w:r>
    </w:p>
    <w:p w14:paraId="1A5BD0C0"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Discovered in 1901 near the Greek island of Antikythera, the mechanism has been dated to approximately the 2nd century BCE and is understood to track solar, lunar, and eclipse cycles (Freeth et al., 2006). Modern imaging techniques, including X-ray tomography, have revealed a complex system of gears encoding astronomical periodicities.</w:t>
      </w:r>
    </w:p>
    <w:p w14:paraId="4F641524"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This study extends beyond accepted interpretations and proposes that the mechanism may represent:</w:t>
      </w:r>
    </w:p>
    <w:p w14:paraId="4D8BD32E" w14:textId="77777777" w:rsidR="007B503F" w:rsidRPr="007B503F" w:rsidRDefault="007B503F" w:rsidP="007B50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 </w:t>
      </w:r>
      <w:r w:rsidRPr="007B503F">
        <w:rPr>
          <w:rFonts w:ascii="Times New Roman" w:eastAsia="Times New Roman" w:hAnsi="Times New Roman" w:cs="Times New Roman"/>
          <w:b/>
          <w:bCs/>
          <w:sz w:val="24"/>
          <w:szCs w:val="24"/>
        </w:rPr>
        <w:t>cosmic synchronization device</w:t>
      </w:r>
      <w:r w:rsidRPr="007B503F">
        <w:rPr>
          <w:rFonts w:ascii="Times New Roman" w:eastAsia="Times New Roman" w:hAnsi="Times New Roman" w:cs="Times New Roman"/>
          <w:sz w:val="24"/>
          <w:szCs w:val="24"/>
        </w:rPr>
        <w:t xml:space="preserve"> </w:t>
      </w:r>
    </w:p>
    <w:p w14:paraId="08316208" w14:textId="77777777" w:rsidR="007B503F" w:rsidRPr="007B503F" w:rsidRDefault="007B503F" w:rsidP="007B50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 </w:t>
      </w:r>
      <w:r w:rsidRPr="007B503F">
        <w:rPr>
          <w:rFonts w:ascii="Times New Roman" w:eastAsia="Times New Roman" w:hAnsi="Times New Roman" w:cs="Times New Roman"/>
          <w:b/>
          <w:bCs/>
          <w:sz w:val="24"/>
          <w:szCs w:val="24"/>
        </w:rPr>
        <w:t>long-cycle astronomical calendar</w:t>
      </w:r>
      <w:r w:rsidRPr="007B503F">
        <w:rPr>
          <w:rFonts w:ascii="Times New Roman" w:eastAsia="Times New Roman" w:hAnsi="Times New Roman" w:cs="Times New Roman"/>
          <w:sz w:val="24"/>
          <w:szCs w:val="24"/>
        </w:rPr>
        <w:t xml:space="preserve"> </w:t>
      </w:r>
    </w:p>
    <w:p w14:paraId="698A89F8" w14:textId="77777777" w:rsidR="007B503F" w:rsidRPr="007B503F" w:rsidRDefault="007B503F" w:rsidP="007B50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 potential </w:t>
      </w:r>
      <w:r w:rsidRPr="007B503F">
        <w:rPr>
          <w:rFonts w:ascii="Times New Roman" w:eastAsia="Times New Roman" w:hAnsi="Times New Roman" w:cs="Times New Roman"/>
          <w:b/>
          <w:bCs/>
          <w:sz w:val="24"/>
          <w:szCs w:val="24"/>
        </w:rPr>
        <w:t>reference system for reconstructing historical events</w:t>
      </w:r>
      <w:r w:rsidRPr="007B503F">
        <w:rPr>
          <w:rFonts w:ascii="Times New Roman" w:eastAsia="Times New Roman" w:hAnsi="Times New Roman" w:cs="Times New Roman"/>
          <w:sz w:val="24"/>
          <w:szCs w:val="24"/>
        </w:rPr>
        <w:t xml:space="preserve"> </w:t>
      </w:r>
    </w:p>
    <w:p w14:paraId="4AAEA5D3" w14:textId="2E3EFA43"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Calendar Systems and Temporal Displacement</w:t>
      </w:r>
    </w:p>
    <w:p w14:paraId="291C6779"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Modern timekeeping relies on the Gregorian Calendar, introduced in 1582 to correct Julian drift. However, discrepancies remain between civil calendars and astronomical cycles (Meeus, 1998).</w:t>
      </w:r>
    </w:p>
    <w:p w14:paraId="2C74920E" w14:textId="77777777" w:rsid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p>
    <w:p w14:paraId="0D2B5E27" w14:textId="77777777" w:rsid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p>
    <w:p w14:paraId="41BA52F1" w14:textId="0F13FF0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lastRenderedPageBreak/>
        <w:t>Hypothesis:</w:t>
      </w:r>
    </w:p>
    <w:p w14:paraId="240CB40E"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 measurable temporal offset (proposed here as ~12 days) may exist between modern civil timekeeping and long-cycle astronomical alignments.</w:t>
      </w:r>
    </w:p>
    <w:p w14:paraId="16644206"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Context from Existing Research:</w:t>
      </w:r>
    </w:p>
    <w:p w14:paraId="1F4597DB" w14:textId="77777777" w:rsidR="007B503F" w:rsidRPr="007B503F" w:rsidRDefault="007B503F" w:rsidP="007B50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The Julian calendar accumulated ~10 days of drift by the 16th century (Richards, 2013). </w:t>
      </w:r>
    </w:p>
    <w:p w14:paraId="4BDF5E76" w14:textId="77777777" w:rsidR="007B503F" w:rsidRPr="007B503F" w:rsidRDefault="007B503F" w:rsidP="007B50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Precession of the equinoxes (~26,000-year cycle) shifts stellar reference points over time (Krupp, 1997). </w:t>
      </w:r>
    </w:p>
    <w:p w14:paraId="5337ADA8"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b/>
          <w:bCs/>
          <w:sz w:val="24"/>
          <w:szCs w:val="24"/>
        </w:rPr>
        <w:t>Interpretation (Exploratory):</w:t>
      </w:r>
      <w:r w:rsidRPr="007B503F">
        <w:rPr>
          <w:rFonts w:ascii="Times New Roman" w:eastAsia="Times New Roman" w:hAnsi="Times New Roman" w:cs="Times New Roman"/>
          <w:sz w:val="24"/>
          <w:szCs w:val="24"/>
        </w:rPr>
        <w:br/>
        <w:t>If ancient systems encoded longer astronomical baselines, recalibration against modern ephemerides may reveal systematic offsets.</w:t>
      </w:r>
    </w:p>
    <w:p w14:paraId="22B98F85" w14:textId="01E079CD"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Functional Interpretation of the Antikythera Mechanism</w:t>
      </w:r>
    </w:p>
    <w:p w14:paraId="43C3AA4C"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Accepted functions include:</w:t>
      </w:r>
    </w:p>
    <w:p w14:paraId="4468FC4D" w14:textId="77777777" w:rsidR="007B503F" w:rsidRPr="007B503F" w:rsidRDefault="007B503F" w:rsidP="007B50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Eclipse prediction via the Saros cycle </w:t>
      </w:r>
    </w:p>
    <w:p w14:paraId="0AA3F5E2" w14:textId="77777777" w:rsidR="007B503F" w:rsidRPr="007B503F" w:rsidRDefault="007B503F" w:rsidP="007B50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Lunar phase tracking </w:t>
      </w:r>
    </w:p>
    <w:p w14:paraId="4F1CA5C2" w14:textId="77777777" w:rsidR="007B503F" w:rsidRPr="007B503F" w:rsidRDefault="007B503F" w:rsidP="007B50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Planetary motion approximation (Evans &amp; Carman, 2010) </w:t>
      </w:r>
    </w:p>
    <w:p w14:paraId="190FE855"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Proposed Extension:</w:t>
      </w:r>
    </w:p>
    <w:p w14:paraId="1250CB17"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Using modern computational methods (AI-assisted modeling), the mechanism may be reinterpreted as:</w:t>
      </w:r>
    </w:p>
    <w:p w14:paraId="408BEC66" w14:textId="77777777" w:rsidR="007B503F" w:rsidRPr="007B503F" w:rsidRDefault="007B503F" w:rsidP="007B50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 </w:t>
      </w:r>
      <w:r w:rsidRPr="007B503F">
        <w:rPr>
          <w:rFonts w:ascii="Times New Roman" w:eastAsia="Times New Roman" w:hAnsi="Times New Roman" w:cs="Times New Roman"/>
          <w:b/>
          <w:bCs/>
          <w:sz w:val="24"/>
          <w:szCs w:val="24"/>
        </w:rPr>
        <w:t>multi-cycle synchronization engine</w:t>
      </w:r>
      <w:r w:rsidRPr="007B503F">
        <w:rPr>
          <w:rFonts w:ascii="Times New Roman" w:eastAsia="Times New Roman" w:hAnsi="Times New Roman" w:cs="Times New Roman"/>
          <w:sz w:val="24"/>
          <w:szCs w:val="24"/>
        </w:rPr>
        <w:t xml:space="preserve"> </w:t>
      </w:r>
    </w:p>
    <w:p w14:paraId="52F8E3FD" w14:textId="77777777" w:rsidR="007B503F" w:rsidRPr="007B503F" w:rsidRDefault="007B503F" w:rsidP="007B50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 </w:t>
      </w:r>
      <w:r w:rsidRPr="007B503F">
        <w:rPr>
          <w:rFonts w:ascii="Times New Roman" w:eastAsia="Times New Roman" w:hAnsi="Times New Roman" w:cs="Times New Roman"/>
          <w:b/>
          <w:bCs/>
          <w:sz w:val="24"/>
          <w:szCs w:val="24"/>
        </w:rPr>
        <w:t>reference framework for celestial alignment reconstruction</w:t>
      </w:r>
      <w:r w:rsidRPr="007B503F">
        <w:rPr>
          <w:rFonts w:ascii="Times New Roman" w:eastAsia="Times New Roman" w:hAnsi="Times New Roman" w:cs="Times New Roman"/>
          <w:sz w:val="24"/>
          <w:szCs w:val="24"/>
        </w:rPr>
        <w:t xml:space="preserve"> </w:t>
      </w:r>
    </w:p>
    <w:p w14:paraId="314F4012" w14:textId="62D80811"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This aligns with </w:t>
      </w:r>
      <w:r w:rsidRPr="007B503F">
        <w:rPr>
          <w:rFonts w:ascii="Times New Roman" w:eastAsia="Times New Roman" w:hAnsi="Times New Roman" w:cs="Times New Roman"/>
          <w:sz w:val="24"/>
          <w:szCs w:val="24"/>
        </w:rPr>
        <w:t>archeoastronomy</w:t>
      </w:r>
      <w:r w:rsidRPr="007B503F">
        <w:rPr>
          <w:rFonts w:ascii="Times New Roman" w:eastAsia="Times New Roman" w:hAnsi="Times New Roman" w:cs="Times New Roman"/>
          <w:sz w:val="24"/>
          <w:szCs w:val="24"/>
        </w:rPr>
        <w:t xml:space="preserve"> evidence that ancient civilizations used stellar alignments for calendrical and architectural precision (Aveni, 2001).</w:t>
      </w:r>
    </w:p>
    <w:p w14:paraId="6E673F6E"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3D54B08F"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0A21375C"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672A2A1A"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3630CBDD" w14:textId="37558709"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lastRenderedPageBreak/>
        <w:t>Reconstruction of Lost Civilizations</w:t>
      </w:r>
    </w:p>
    <w:p w14:paraId="09099FC0"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This study proposes that celestial alignment models may assist in reconstructing historical timelines for ancient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521"/>
        <w:gridCol w:w="2342"/>
      </w:tblGrid>
      <w:tr w:rsidR="007B503F" w:rsidRPr="007B503F" w14:paraId="49EA34B2" w14:textId="77777777">
        <w:trPr>
          <w:tblHeader/>
          <w:tblCellSpacing w:w="15" w:type="dxa"/>
        </w:trPr>
        <w:tc>
          <w:tcPr>
            <w:tcW w:w="0" w:type="auto"/>
            <w:vAlign w:val="center"/>
            <w:hideMark/>
          </w:tcPr>
          <w:p w14:paraId="514240A5" w14:textId="77777777" w:rsidR="007B503F" w:rsidRPr="007B503F" w:rsidRDefault="007B503F" w:rsidP="007B503F">
            <w:pPr>
              <w:spacing w:after="0" w:line="240" w:lineRule="auto"/>
              <w:jc w:val="center"/>
              <w:rPr>
                <w:rFonts w:ascii="Times New Roman" w:eastAsia="Times New Roman" w:hAnsi="Times New Roman" w:cs="Times New Roman"/>
                <w:b/>
                <w:bCs/>
                <w:sz w:val="24"/>
                <w:szCs w:val="24"/>
              </w:rPr>
            </w:pPr>
            <w:r w:rsidRPr="007B503F">
              <w:rPr>
                <w:rFonts w:ascii="Times New Roman" w:eastAsia="Times New Roman" w:hAnsi="Times New Roman" w:cs="Times New Roman"/>
                <w:b/>
                <w:bCs/>
                <w:sz w:val="24"/>
                <w:szCs w:val="24"/>
              </w:rPr>
              <w:t>Site</w:t>
            </w:r>
          </w:p>
        </w:tc>
        <w:tc>
          <w:tcPr>
            <w:tcW w:w="0" w:type="auto"/>
            <w:vAlign w:val="center"/>
            <w:hideMark/>
          </w:tcPr>
          <w:p w14:paraId="75B6E71C" w14:textId="77777777" w:rsidR="007B503F" w:rsidRPr="007B503F" w:rsidRDefault="007B503F" w:rsidP="007B503F">
            <w:pPr>
              <w:spacing w:after="0" w:line="240" w:lineRule="auto"/>
              <w:jc w:val="center"/>
              <w:rPr>
                <w:rFonts w:ascii="Times New Roman" w:eastAsia="Times New Roman" w:hAnsi="Times New Roman" w:cs="Times New Roman"/>
                <w:b/>
                <w:bCs/>
                <w:sz w:val="24"/>
                <w:szCs w:val="24"/>
              </w:rPr>
            </w:pPr>
            <w:r w:rsidRPr="007B503F">
              <w:rPr>
                <w:rFonts w:ascii="Times New Roman" w:eastAsia="Times New Roman" w:hAnsi="Times New Roman" w:cs="Times New Roman"/>
                <w:b/>
                <w:bCs/>
                <w:sz w:val="24"/>
                <w:szCs w:val="24"/>
              </w:rPr>
              <w:t>Established Chronology</w:t>
            </w:r>
          </w:p>
        </w:tc>
        <w:tc>
          <w:tcPr>
            <w:tcW w:w="0" w:type="auto"/>
            <w:vAlign w:val="center"/>
            <w:hideMark/>
          </w:tcPr>
          <w:p w14:paraId="04CD0FF7" w14:textId="77777777" w:rsidR="007B503F" w:rsidRPr="007B503F" w:rsidRDefault="007B503F" w:rsidP="007B503F">
            <w:pPr>
              <w:spacing w:after="0" w:line="240" w:lineRule="auto"/>
              <w:jc w:val="center"/>
              <w:rPr>
                <w:rFonts w:ascii="Times New Roman" w:eastAsia="Times New Roman" w:hAnsi="Times New Roman" w:cs="Times New Roman"/>
                <w:b/>
                <w:bCs/>
                <w:sz w:val="24"/>
                <w:szCs w:val="24"/>
              </w:rPr>
            </w:pPr>
            <w:r w:rsidRPr="007B503F">
              <w:rPr>
                <w:rFonts w:ascii="Times New Roman" w:eastAsia="Times New Roman" w:hAnsi="Times New Roman" w:cs="Times New Roman"/>
                <w:b/>
                <w:bCs/>
                <w:sz w:val="24"/>
                <w:szCs w:val="24"/>
              </w:rPr>
              <w:t>Notes</w:t>
            </w:r>
          </w:p>
        </w:tc>
      </w:tr>
      <w:tr w:rsidR="007B503F" w:rsidRPr="007B503F" w14:paraId="2891DEA1" w14:textId="77777777">
        <w:trPr>
          <w:tblCellSpacing w:w="15" w:type="dxa"/>
        </w:trPr>
        <w:tc>
          <w:tcPr>
            <w:tcW w:w="0" w:type="auto"/>
            <w:vAlign w:val="center"/>
            <w:hideMark/>
          </w:tcPr>
          <w:p w14:paraId="38F472D2" w14:textId="77777777" w:rsidR="007B503F" w:rsidRPr="007B503F" w:rsidRDefault="007B503F" w:rsidP="007B503F">
            <w:pPr>
              <w:spacing w:after="0" w:line="240" w:lineRule="auto"/>
              <w:rPr>
                <w:rFonts w:ascii="Times New Roman" w:eastAsia="Times New Roman" w:hAnsi="Times New Roman" w:cs="Times New Roman"/>
                <w:sz w:val="24"/>
                <w:szCs w:val="24"/>
              </w:rPr>
            </w:pPr>
            <w:proofErr w:type="spellStart"/>
            <w:r w:rsidRPr="007B503F">
              <w:rPr>
                <w:rFonts w:ascii="Times New Roman" w:eastAsia="Times New Roman" w:hAnsi="Times New Roman" w:cs="Times New Roman"/>
                <w:sz w:val="24"/>
                <w:szCs w:val="24"/>
              </w:rPr>
              <w:t>Göbekli</w:t>
            </w:r>
            <w:proofErr w:type="spellEnd"/>
            <w:r w:rsidRPr="007B503F">
              <w:rPr>
                <w:rFonts w:ascii="Times New Roman" w:eastAsia="Times New Roman" w:hAnsi="Times New Roman" w:cs="Times New Roman"/>
                <w:sz w:val="24"/>
                <w:szCs w:val="24"/>
              </w:rPr>
              <w:t xml:space="preserve"> Tepe</w:t>
            </w:r>
          </w:p>
        </w:tc>
        <w:tc>
          <w:tcPr>
            <w:tcW w:w="0" w:type="auto"/>
            <w:vAlign w:val="center"/>
            <w:hideMark/>
          </w:tcPr>
          <w:p w14:paraId="14E5BA2F"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c. 9600–8000 BCE</w:t>
            </w:r>
          </w:p>
        </w:tc>
        <w:tc>
          <w:tcPr>
            <w:tcW w:w="0" w:type="auto"/>
            <w:vAlign w:val="center"/>
            <w:hideMark/>
          </w:tcPr>
          <w:p w14:paraId="4C245306"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Early ritual complex</w:t>
            </w:r>
          </w:p>
        </w:tc>
      </w:tr>
      <w:tr w:rsidR="007B503F" w:rsidRPr="007B503F" w14:paraId="68299352" w14:textId="77777777">
        <w:trPr>
          <w:tblCellSpacing w:w="15" w:type="dxa"/>
        </w:trPr>
        <w:tc>
          <w:tcPr>
            <w:tcW w:w="0" w:type="auto"/>
            <w:vAlign w:val="center"/>
            <w:hideMark/>
          </w:tcPr>
          <w:p w14:paraId="7F168AF8"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Jericho</w:t>
            </w:r>
          </w:p>
        </w:tc>
        <w:tc>
          <w:tcPr>
            <w:tcW w:w="0" w:type="auto"/>
            <w:vAlign w:val="center"/>
            <w:hideMark/>
          </w:tcPr>
          <w:p w14:paraId="1EDE4D0C"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c. 9000 BCE onward</w:t>
            </w:r>
          </w:p>
        </w:tc>
        <w:tc>
          <w:tcPr>
            <w:tcW w:w="0" w:type="auto"/>
            <w:vAlign w:val="center"/>
            <w:hideMark/>
          </w:tcPr>
          <w:p w14:paraId="513E9010"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Early urban settlement</w:t>
            </w:r>
          </w:p>
        </w:tc>
      </w:tr>
      <w:tr w:rsidR="007B503F" w:rsidRPr="007B503F" w14:paraId="1838001F" w14:textId="77777777">
        <w:trPr>
          <w:tblCellSpacing w:w="15" w:type="dxa"/>
        </w:trPr>
        <w:tc>
          <w:tcPr>
            <w:tcW w:w="0" w:type="auto"/>
            <w:vAlign w:val="center"/>
            <w:hideMark/>
          </w:tcPr>
          <w:p w14:paraId="1E05A501" w14:textId="77777777" w:rsidR="007B503F" w:rsidRPr="007B503F" w:rsidRDefault="007B503F" w:rsidP="007B503F">
            <w:pPr>
              <w:spacing w:after="0" w:line="240" w:lineRule="auto"/>
              <w:rPr>
                <w:rFonts w:ascii="Times New Roman" w:eastAsia="Times New Roman" w:hAnsi="Times New Roman" w:cs="Times New Roman"/>
                <w:sz w:val="24"/>
                <w:szCs w:val="24"/>
              </w:rPr>
            </w:pPr>
            <w:proofErr w:type="spellStart"/>
            <w:r w:rsidRPr="007B503F">
              <w:rPr>
                <w:rFonts w:ascii="Times New Roman" w:eastAsia="Times New Roman" w:hAnsi="Times New Roman" w:cs="Times New Roman"/>
                <w:sz w:val="24"/>
                <w:szCs w:val="24"/>
              </w:rPr>
              <w:t>Pavlopetri</w:t>
            </w:r>
            <w:proofErr w:type="spellEnd"/>
          </w:p>
        </w:tc>
        <w:tc>
          <w:tcPr>
            <w:tcW w:w="0" w:type="auto"/>
            <w:vAlign w:val="center"/>
            <w:hideMark/>
          </w:tcPr>
          <w:p w14:paraId="5997E6A3"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c. 3000 BCE</w:t>
            </w:r>
          </w:p>
        </w:tc>
        <w:tc>
          <w:tcPr>
            <w:tcW w:w="0" w:type="auto"/>
            <w:vAlign w:val="center"/>
            <w:hideMark/>
          </w:tcPr>
          <w:p w14:paraId="3377DBCC"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Submerged settlement</w:t>
            </w:r>
          </w:p>
        </w:tc>
      </w:tr>
      <w:tr w:rsidR="007B503F" w:rsidRPr="007B503F" w14:paraId="553A008B" w14:textId="77777777">
        <w:trPr>
          <w:tblCellSpacing w:w="15" w:type="dxa"/>
        </w:trPr>
        <w:tc>
          <w:tcPr>
            <w:tcW w:w="0" w:type="auto"/>
            <w:vAlign w:val="center"/>
            <w:hideMark/>
          </w:tcPr>
          <w:p w14:paraId="37696507"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Thonis-</w:t>
            </w:r>
            <w:proofErr w:type="spellStart"/>
            <w:r w:rsidRPr="007B503F">
              <w:rPr>
                <w:rFonts w:ascii="Times New Roman" w:eastAsia="Times New Roman" w:hAnsi="Times New Roman" w:cs="Times New Roman"/>
                <w:sz w:val="24"/>
                <w:szCs w:val="24"/>
              </w:rPr>
              <w:t>Heracleion</w:t>
            </w:r>
            <w:proofErr w:type="spellEnd"/>
          </w:p>
        </w:tc>
        <w:tc>
          <w:tcPr>
            <w:tcW w:w="0" w:type="auto"/>
            <w:vAlign w:val="center"/>
            <w:hideMark/>
          </w:tcPr>
          <w:p w14:paraId="6155871F"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c. 800 BCE–1st c. BCE</w:t>
            </w:r>
          </w:p>
        </w:tc>
        <w:tc>
          <w:tcPr>
            <w:tcW w:w="0" w:type="auto"/>
            <w:vAlign w:val="center"/>
            <w:hideMark/>
          </w:tcPr>
          <w:p w14:paraId="292D9857"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Nile delta port</w:t>
            </w:r>
          </w:p>
        </w:tc>
      </w:tr>
      <w:tr w:rsidR="007B503F" w:rsidRPr="007B503F" w14:paraId="21818F4D" w14:textId="77777777">
        <w:trPr>
          <w:tblCellSpacing w:w="15" w:type="dxa"/>
        </w:trPr>
        <w:tc>
          <w:tcPr>
            <w:tcW w:w="0" w:type="auto"/>
            <w:vAlign w:val="center"/>
            <w:hideMark/>
          </w:tcPr>
          <w:p w14:paraId="2D33C484"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Mesa Verde</w:t>
            </w:r>
          </w:p>
        </w:tc>
        <w:tc>
          <w:tcPr>
            <w:tcW w:w="0" w:type="auto"/>
            <w:vAlign w:val="center"/>
            <w:hideMark/>
          </w:tcPr>
          <w:p w14:paraId="3606C4A2"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c. 600–1300 CE</w:t>
            </w:r>
          </w:p>
        </w:tc>
        <w:tc>
          <w:tcPr>
            <w:tcW w:w="0" w:type="auto"/>
            <w:vAlign w:val="center"/>
            <w:hideMark/>
          </w:tcPr>
          <w:p w14:paraId="3CB25C09" w14:textId="77777777" w:rsidR="007B503F" w:rsidRPr="007B503F" w:rsidRDefault="007B503F" w:rsidP="007B503F">
            <w:pPr>
              <w:spacing w:after="0"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Ancestral Puebloan site</w:t>
            </w:r>
          </w:p>
        </w:tc>
      </w:tr>
    </w:tbl>
    <w:p w14:paraId="02634223"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Supporting Academic Basis:</w:t>
      </w:r>
    </w:p>
    <w:p w14:paraId="34ECDEEE" w14:textId="77777777" w:rsidR="007B503F" w:rsidRPr="007B503F" w:rsidRDefault="007B503F" w:rsidP="007B50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Archaeological dating relies on radiocarbon and stratigraphy (Renfrew &amp; Bahn, 2016). </w:t>
      </w:r>
    </w:p>
    <w:p w14:paraId="7E311C5D" w14:textId="654D8C0D" w:rsidR="007B503F" w:rsidRPr="007B503F" w:rsidRDefault="007B503F" w:rsidP="007B50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Archeoastronomy</w:t>
      </w:r>
      <w:r w:rsidRPr="007B503F">
        <w:rPr>
          <w:rFonts w:ascii="Times New Roman" w:eastAsia="Times New Roman" w:hAnsi="Times New Roman" w:cs="Times New Roman"/>
          <w:sz w:val="24"/>
          <w:szCs w:val="24"/>
        </w:rPr>
        <w:t xml:space="preserve"> shows alignments with solstices and star positions (Ruggles, 2015). </w:t>
      </w:r>
    </w:p>
    <w:p w14:paraId="3D1A0CB4"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Proposed Method (Exploratory):</w:t>
      </w:r>
    </w:p>
    <w:p w14:paraId="2B66250A" w14:textId="77777777" w:rsidR="007B503F" w:rsidRPr="007B503F" w:rsidRDefault="007B503F" w:rsidP="007B50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Use stellar backtracking (astronomical software) </w:t>
      </w:r>
    </w:p>
    <w:p w14:paraId="08A7CDB3" w14:textId="77777777" w:rsidR="007B503F" w:rsidRPr="007B503F" w:rsidRDefault="007B503F" w:rsidP="007B50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Apply Earth axial precession corrections </w:t>
      </w:r>
    </w:p>
    <w:p w14:paraId="288AF012" w14:textId="77777777" w:rsidR="007B503F" w:rsidRPr="007B503F" w:rsidRDefault="007B503F" w:rsidP="007B50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Align architectural orientations with celestial positions </w:t>
      </w:r>
    </w:p>
    <w:p w14:paraId="332F30AF" w14:textId="47516FBD"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Earth System Adjustments</w:t>
      </w:r>
    </w:p>
    <w:p w14:paraId="346B776D"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Accurate reconstruction requires accounting for:</w:t>
      </w:r>
    </w:p>
    <w:p w14:paraId="19D15FE0" w14:textId="77777777" w:rsidR="007B503F" w:rsidRPr="007B503F" w:rsidRDefault="007B503F" w:rsidP="007B50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Plate tectonics (~cm/year drift) </w:t>
      </w:r>
    </w:p>
    <w:p w14:paraId="1057CE99" w14:textId="77777777" w:rsidR="007B503F" w:rsidRPr="007B503F" w:rsidRDefault="007B503F" w:rsidP="007B50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Axial tilt variation (~22.1°–24.5° cycle) </w:t>
      </w:r>
    </w:p>
    <w:p w14:paraId="139D7C3B" w14:textId="77777777" w:rsidR="007B503F" w:rsidRPr="007B503F" w:rsidRDefault="007B503F" w:rsidP="007B50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Orbital variations (Milankovitch cycles) </w:t>
      </w:r>
    </w:p>
    <w:p w14:paraId="1BB3A333"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These are well-established in geophysics (Lisiecki &amp; Raymo, 2005).</w:t>
      </w:r>
    </w:p>
    <w:p w14:paraId="5588A51B"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b/>
          <w:bCs/>
          <w:sz w:val="24"/>
          <w:szCs w:val="24"/>
        </w:rPr>
        <w:t>Interpretation:</w:t>
      </w:r>
      <w:r w:rsidRPr="007B503F">
        <w:rPr>
          <w:rFonts w:ascii="Times New Roman" w:eastAsia="Times New Roman" w:hAnsi="Times New Roman" w:cs="Times New Roman"/>
          <w:sz w:val="24"/>
          <w:szCs w:val="24"/>
        </w:rPr>
        <w:br/>
        <w:t>Ancient alignment systems may have implicitly accounted for these shifts through long observational baselines.</w:t>
      </w:r>
    </w:p>
    <w:p w14:paraId="2E2EE0DC"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42C6FCC2" w14:textId="77777777" w:rsid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p>
    <w:p w14:paraId="19839768" w14:textId="57751C2E"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lastRenderedPageBreak/>
        <w:t>Evaluation of Historical Event Correlations</w:t>
      </w:r>
    </w:p>
    <w:p w14:paraId="68543A6F"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The document proposes correlations between celestial cycles and events such as:</w:t>
      </w:r>
    </w:p>
    <w:p w14:paraId="0252A35F" w14:textId="77777777" w:rsidR="007B503F" w:rsidRPr="007B503F" w:rsidRDefault="007B503F" w:rsidP="007B50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RMS Titanic sinking </w:t>
      </w:r>
    </w:p>
    <w:p w14:paraId="37522E55" w14:textId="77777777" w:rsidR="007B503F" w:rsidRPr="007B503F" w:rsidRDefault="007B503F" w:rsidP="007B50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Eruption of Mount Vesuvius 79 AD </w:t>
      </w:r>
    </w:p>
    <w:p w14:paraId="66C83CE9" w14:textId="77777777" w:rsidR="007B503F" w:rsidRPr="007B503F" w:rsidRDefault="007B503F" w:rsidP="007B50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Space Shuttle Challenger disaster </w:t>
      </w:r>
    </w:p>
    <w:p w14:paraId="2AD592CF"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Scientific Position:</w:t>
      </w:r>
    </w:p>
    <w:p w14:paraId="5E6DD2B5"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Current research does </w:t>
      </w:r>
      <w:r w:rsidRPr="007B503F">
        <w:rPr>
          <w:rFonts w:ascii="Times New Roman" w:eastAsia="Times New Roman" w:hAnsi="Times New Roman" w:cs="Times New Roman"/>
          <w:b/>
          <w:bCs/>
          <w:sz w:val="24"/>
          <w:szCs w:val="24"/>
        </w:rPr>
        <w:t>not support causal links</w:t>
      </w:r>
      <w:r w:rsidRPr="007B503F">
        <w:rPr>
          <w:rFonts w:ascii="Times New Roman" w:eastAsia="Times New Roman" w:hAnsi="Times New Roman" w:cs="Times New Roman"/>
          <w:sz w:val="24"/>
          <w:szCs w:val="24"/>
        </w:rPr>
        <w:t xml:space="preserve"> between planetary alignments and such events (NASA, 2012).</w:t>
      </w:r>
    </w:p>
    <w:p w14:paraId="36395CD8"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Academic Framing:</w:t>
      </w:r>
    </w:p>
    <w:p w14:paraId="51ABA44F"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These correlations should be treated as:</w:t>
      </w:r>
    </w:p>
    <w:p w14:paraId="40CB3C5F" w14:textId="77777777" w:rsidR="007B503F" w:rsidRPr="007B503F" w:rsidRDefault="007B503F" w:rsidP="007B50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Pattern exploration hypotheses </w:t>
      </w:r>
    </w:p>
    <w:p w14:paraId="4FD7E1E7" w14:textId="77777777" w:rsidR="007B503F" w:rsidRPr="007B503F" w:rsidRDefault="007B503F" w:rsidP="007B50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Statistical claims requiring rigorous testing </w:t>
      </w:r>
    </w:p>
    <w:p w14:paraId="75F13C31" w14:textId="47E4F57A"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Implications for Navigation Models (Speculative Extension)</w:t>
      </w:r>
    </w:p>
    <w:p w14:paraId="429F1624"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This section introduces a conceptual leap toward navigation frameworks.</w:t>
      </w:r>
    </w:p>
    <w:p w14:paraId="6C21441C"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Established Physics:</w:t>
      </w:r>
    </w:p>
    <w:p w14:paraId="533EC8A0"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Modern navigation relies on:</w:t>
      </w:r>
    </w:p>
    <w:p w14:paraId="2AA3960A" w14:textId="77777777" w:rsidR="007B503F" w:rsidRPr="007B503F" w:rsidRDefault="007B503F" w:rsidP="007B50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General Relativity (Einstein, 1915) </w:t>
      </w:r>
    </w:p>
    <w:p w14:paraId="60BFD765" w14:textId="77777777" w:rsidR="007B503F" w:rsidRPr="007B503F" w:rsidRDefault="007B503F" w:rsidP="007B50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Satellite-based timing systems (GPS) </w:t>
      </w:r>
    </w:p>
    <w:p w14:paraId="3AB72EC2"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Speculative Proposal:</w:t>
      </w:r>
    </w:p>
    <w:p w14:paraId="2089A5FD"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If a </w:t>
      </w:r>
      <w:r w:rsidRPr="007B503F">
        <w:rPr>
          <w:rFonts w:ascii="Times New Roman" w:eastAsia="Times New Roman" w:hAnsi="Times New Roman" w:cs="Times New Roman"/>
          <w:b/>
          <w:bCs/>
          <w:sz w:val="24"/>
          <w:szCs w:val="24"/>
        </w:rPr>
        <w:t>cosmic timing framework</w:t>
      </w:r>
      <w:r w:rsidRPr="007B503F">
        <w:rPr>
          <w:rFonts w:ascii="Times New Roman" w:eastAsia="Times New Roman" w:hAnsi="Times New Roman" w:cs="Times New Roman"/>
          <w:sz w:val="24"/>
          <w:szCs w:val="24"/>
        </w:rPr>
        <w:t xml:space="preserve"> exists, it could hypothetically contribute to:</w:t>
      </w:r>
    </w:p>
    <w:p w14:paraId="5BB1A8C2" w14:textId="77777777" w:rsidR="007B503F" w:rsidRPr="007B503F" w:rsidRDefault="007B503F" w:rsidP="007B50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High-precision navigation systems </w:t>
      </w:r>
    </w:p>
    <w:p w14:paraId="49A4101D" w14:textId="77777777" w:rsidR="007B503F" w:rsidRPr="007B503F" w:rsidRDefault="007B503F" w:rsidP="007B50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Long-distance trajectory correction </w:t>
      </w:r>
    </w:p>
    <w:p w14:paraId="360B091E" w14:textId="77777777" w:rsidR="007B503F" w:rsidRPr="007B503F" w:rsidRDefault="007B503F" w:rsidP="007B50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Relativistic timing synchronization </w:t>
      </w:r>
    </w:p>
    <w:p w14:paraId="5BC5E58C" w14:textId="77777777" w:rsid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p>
    <w:p w14:paraId="013E5FFA" w14:textId="77777777" w:rsid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p>
    <w:p w14:paraId="6069A2E8" w14:textId="52041249"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lastRenderedPageBreak/>
        <w:t>Critical Note:</w:t>
      </w:r>
    </w:p>
    <w:p w14:paraId="4F9B8468"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There is </w:t>
      </w:r>
      <w:r w:rsidRPr="007B503F">
        <w:rPr>
          <w:rFonts w:ascii="Times New Roman" w:eastAsia="Times New Roman" w:hAnsi="Times New Roman" w:cs="Times New Roman"/>
          <w:b/>
          <w:bCs/>
          <w:sz w:val="24"/>
          <w:szCs w:val="24"/>
        </w:rPr>
        <w:t>no experimental evidence</w:t>
      </w:r>
      <w:r w:rsidRPr="007B503F">
        <w:rPr>
          <w:rFonts w:ascii="Times New Roman" w:eastAsia="Times New Roman" w:hAnsi="Times New Roman" w:cs="Times New Roman"/>
          <w:sz w:val="24"/>
          <w:szCs w:val="24"/>
        </w:rPr>
        <w:t xml:space="preserve"> supporting faster-than-light (FTL) travel. Concepts such as the Alcubierre Drive remain theoretical (Alcubierre, 1994).</w:t>
      </w:r>
    </w:p>
    <w:p w14:paraId="7DD19647" w14:textId="16C26438"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Discussion</w:t>
      </w:r>
    </w:p>
    <w:p w14:paraId="6C7F2D75"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This work sits at the intersection of:</w:t>
      </w:r>
    </w:p>
    <w:p w14:paraId="65FFD185" w14:textId="116C4C32" w:rsidR="007B503F" w:rsidRPr="007B503F" w:rsidRDefault="007B503F" w:rsidP="007B50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Archeoastronomy</w:t>
      </w:r>
      <w:r w:rsidRPr="007B503F">
        <w:rPr>
          <w:rFonts w:ascii="Times New Roman" w:eastAsia="Times New Roman" w:hAnsi="Times New Roman" w:cs="Times New Roman"/>
          <w:sz w:val="24"/>
          <w:szCs w:val="24"/>
        </w:rPr>
        <w:t xml:space="preserve"> </w:t>
      </w:r>
    </w:p>
    <w:p w14:paraId="2215CA70" w14:textId="77777777" w:rsidR="007B503F" w:rsidRPr="007B503F" w:rsidRDefault="007B503F" w:rsidP="007B50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Computational modeling </w:t>
      </w:r>
    </w:p>
    <w:p w14:paraId="3903EC7A" w14:textId="77777777" w:rsidR="007B503F" w:rsidRPr="007B503F" w:rsidRDefault="007B503F" w:rsidP="007B50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Theoretical physics </w:t>
      </w:r>
    </w:p>
    <w:p w14:paraId="6693CA3A"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Strengths:</w:t>
      </w:r>
    </w:p>
    <w:p w14:paraId="4EC1FEF7" w14:textId="77777777" w:rsidR="007B503F" w:rsidRPr="007B503F" w:rsidRDefault="007B503F" w:rsidP="007B50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Integrates known ancient astronomical practices </w:t>
      </w:r>
    </w:p>
    <w:p w14:paraId="035F3927" w14:textId="77777777" w:rsidR="007B503F" w:rsidRPr="007B503F" w:rsidRDefault="007B503F" w:rsidP="007B50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Encourages interdisciplinary investigation </w:t>
      </w:r>
    </w:p>
    <w:p w14:paraId="77204476" w14:textId="77777777" w:rsidR="007B503F" w:rsidRPr="007B503F" w:rsidRDefault="007B503F" w:rsidP="007B503F">
      <w:pPr>
        <w:spacing w:before="100" w:beforeAutospacing="1" w:after="100" w:afterAutospacing="1" w:line="240" w:lineRule="auto"/>
        <w:outlineLvl w:val="2"/>
        <w:rPr>
          <w:rFonts w:ascii="Times New Roman" w:eastAsia="Times New Roman" w:hAnsi="Times New Roman" w:cs="Times New Roman"/>
          <w:b/>
          <w:bCs/>
          <w:sz w:val="27"/>
          <w:szCs w:val="27"/>
        </w:rPr>
      </w:pPr>
      <w:r w:rsidRPr="007B503F">
        <w:rPr>
          <w:rFonts w:ascii="Times New Roman" w:eastAsia="Times New Roman" w:hAnsi="Times New Roman" w:cs="Times New Roman"/>
          <w:b/>
          <w:bCs/>
          <w:sz w:val="27"/>
          <w:szCs w:val="27"/>
        </w:rPr>
        <w:t>Limitations:</w:t>
      </w:r>
    </w:p>
    <w:p w14:paraId="2BEF6505" w14:textId="77777777" w:rsidR="007B503F" w:rsidRPr="007B503F" w:rsidRDefault="007B503F" w:rsidP="007B503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Lacks empirical validation for key claims </w:t>
      </w:r>
    </w:p>
    <w:p w14:paraId="1A0337ED" w14:textId="77777777" w:rsidR="007B503F" w:rsidRPr="007B503F" w:rsidRDefault="007B503F" w:rsidP="007B503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Requires quantitative modeling and falsifiable predictions </w:t>
      </w:r>
    </w:p>
    <w:p w14:paraId="7B1CCA1C" w14:textId="7C5C8CC2"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t>Conclusion</w:t>
      </w:r>
    </w:p>
    <w:p w14:paraId="1A829E31"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The Antikythera Mechanism remains one of the most significant discoveries in the history of science. While its known functions are well established, its full implications may not yet be exhausted.</w:t>
      </w:r>
    </w:p>
    <w:p w14:paraId="1FFB87C2"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This paper proposes that:</w:t>
      </w:r>
    </w:p>
    <w:p w14:paraId="0F93DBAC" w14:textId="77777777" w:rsidR="007B503F" w:rsidRPr="007B503F" w:rsidRDefault="007B503F" w:rsidP="007B50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Ancient systems may encode deeper astronomical cycles </w:t>
      </w:r>
    </w:p>
    <w:p w14:paraId="365EFFD2" w14:textId="77777777" w:rsidR="007B503F" w:rsidRPr="007B503F" w:rsidRDefault="007B503F" w:rsidP="007B50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Recalibration with modern tools could refine historical timelines </w:t>
      </w:r>
    </w:p>
    <w:p w14:paraId="7588E6D0" w14:textId="77777777" w:rsidR="007B503F" w:rsidRPr="007B503F" w:rsidRDefault="007B503F" w:rsidP="007B50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Extensions into navigation frameworks remain speculative but conceptually interesting </w:t>
      </w:r>
    </w:p>
    <w:p w14:paraId="200BBD5D" w14:textId="77777777" w:rsidR="007B503F" w:rsidRPr="007B503F" w:rsidRDefault="007B503F" w:rsidP="007B503F">
      <w:p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This study is presented as an </w:t>
      </w:r>
      <w:r w:rsidRPr="007B503F">
        <w:rPr>
          <w:rFonts w:ascii="Times New Roman" w:eastAsia="Times New Roman" w:hAnsi="Times New Roman" w:cs="Times New Roman"/>
          <w:b/>
          <w:bCs/>
          <w:sz w:val="24"/>
          <w:szCs w:val="24"/>
        </w:rPr>
        <w:t>exploratory framework</w:t>
      </w:r>
      <w:r w:rsidRPr="007B503F">
        <w:rPr>
          <w:rFonts w:ascii="Times New Roman" w:eastAsia="Times New Roman" w:hAnsi="Times New Roman" w:cs="Times New Roman"/>
          <w:sz w:val="24"/>
          <w:szCs w:val="24"/>
        </w:rPr>
        <w:t>, intended to stimulate further research, testing, and critical evaluation.</w:t>
      </w:r>
    </w:p>
    <w:p w14:paraId="7D6C5FBD" w14:textId="0590E431" w:rsidR="007B503F" w:rsidRDefault="007B503F" w:rsidP="007B503F">
      <w:pPr>
        <w:spacing w:after="0" w:line="240" w:lineRule="auto"/>
        <w:rPr>
          <w:rFonts w:ascii="Times New Roman" w:eastAsia="Times New Roman" w:hAnsi="Times New Roman" w:cs="Times New Roman"/>
          <w:sz w:val="24"/>
          <w:szCs w:val="24"/>
        </w:rPr>
      </w:pPr>
    </w:p>
    <w:p w14:paraId="602960AB" w14:textId="77777777" w:rsidR="007B503F" w:rsidRDefault="007B503F" w:rsidP="007B503F">
      <w:pPr>
        <w:spacing w:after="0" w:line="240" w:lineRule="auto"/>
        <w:rPr>
          <w:rFonts w:ascii="Times New Roman" w:eastAsia="Times New Roman" w:hAnsi="Times New Roman" w:cs="Times New Roman"/>
          <w:sz w:val="24"/>
          <w:szCs w:val="24"/>
        </w:rPr>
      </w:pPr>
    </w:p>
    <w:p w14:paraId="5BC5B54B" w14:textId="77777777" w:rsidR="007B503F" w:rsidRDefault="007B503F" w:rsidP="007B503F">
      <w:pPr>
        <w:spacing w:after="0" w:line="240" w:lineRule="auto"/>
        <w:rPr>
          <w:rFonts w:ascii="Times New Roman" w:eastAsia="Times New Roman" w:hAnsi="Times New Roman" w:cs="Times New Roman"/>
          <w:sz w:val="24"/>
          <w:szCs w:val="24"/>
        </w:rPr>
      </w:pPr>
    </w:p>
    <w:p w14:paraId="1A5AE486" w14:textId="77777777" w:rsidR="007B503F" w:rsidRPr="007B503F" w:rsidRDefault="007B503F" w:rsidP="007B503F">
      <w:pPr>
        <w:spacing w:after="0" w:line="240" w:lineRule="auto"/>
        <w:rPr>
          <w:rFonts w:ascii="Times New Roman" w:eastAsia="Times New Roman" w:hAnsi="Times New Roman" w:cs="Times New Roman"/>
          <w:sz w:val="24"/>
          <w:szCs w:val="24"/>
        </w:rPr>
      </w:pPr>
    </w:p>
    <w:p w14:paraId="41A1D663" w14:textId="77777777" w:rsidR="007B503F" w:rsidRPr="007B503F" w:rsidRDefault="007B503F" w:rsidP="007B503F">
      <w:pPr>
        <w:spacing w:before="100" w:beforeAutospacing="1" w:after="100" w:afterAutospacing="1" w:line="240" w:lineRule="auto"/>
        <w:outlineLvl w:val="1"/>
        <w:rPr>
          <w:rFonts w:ascii="Times New Roman" w:eastAsia="Times New Roman" w:hAnsi="Times New Roman" w:cs="Times New Roman"/>
          <w:b/>
          <w:bCs/>
          <w:sz w:val="36"/>
          <w:szCs w:val="36"/>
        </w:rPr>
      </w:pPr>
      <w:r w:rsidRPr="007B503F">
        <w:rPr>
          <w:rFonts w:ascii="Times New Roman" w:eastAsia="Times New Roman" w:hAnsi="Times New Roman" w:cs="Times New Roman"/>
          <w:b/>
          <w:bCs/>
          <w:sz w:val="36"/>
          <w:szCs w:val="36"/>
        </w:rPr>
        <w:lastRenderedPageBreak/>
        <w:t>References</w:t>
      </w:r>
    </w:p>
    <w:p w14:paraId="78AA7033"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Alcubierre, M. (1994). </w:t>
      </w:r>
      <w:r w:rsidRPr="007B503F">
        <w:rPr>
          <w:rFonts w:ascii="Times New Roman" w:eastAsia="Times New Roman" w:hAnsi="Times New Roman" w:cs="Times New Roman"/>
          <w:i/>
          <w:iCs/>
          <w:sz w:val="24"/>
          <w:szCs w:val="24"/>
        </w:rPr>
        <w:t>The warp drive: hyper-fast travel within general relativity</w:t>
      </w:r>
      <w:r w:rsidRPr="007B503F">
        <w:rPr>
          <w:rFonts w:ascii="Times New Roman" w:eastAsia="Times New Roman" w:hAnsi="Times New Roman" w:cs="Times New Roman"/>
          <w:sz w:val="24"/>
          <w:szCs w:val="24"/>
        </w:rPr>
        <w:t xml:space="preserve">. Classical and Quantum Gravity. </w:t>
      </w:r>
    </w:p>
    <w:p w14:paraId="3D9F455F"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Aveni, A. (2001). </w:t>
      </w:r>
      <w:r w:rsidRPr="007B503F">
        <w:rPr>
          <w:rFonts w:ascii="Times New Roman" w:eastAsia="Times New Roman" w:hAnsi="Times New Roman" w:cs="Times New Roman"/>
          <w:i/>
          <w:iCs/>
          <w:sz w:val="24"/>
          <w:szCs w:val="24"/>
        </w:rPr>
        <w:t>Skywatchers</w:t>
      </w:r>
      <w:r w:rsidRPr="007B503F">
        <w:rPr>
          <w:rFonts w:ascii="Times New Roman" w:eastAsia="Times New Roman" w:hAnsi="Times New Roman" w:cs="Times New Roman"/>
          <w:sz w:val="24"/>
          <w:szCs w:val="24"/>
        </w:rPr>
        <w:t xml:space="preserve">. University of Texas Press. </w:t>
      </w:r>
    </w:p>
    <w:p w14:paraId="22351645"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Evans, J., &amp; Carman, C. (2010). </w:t>
      </w:r>
      <w:r w:rsidRPr="007B503F">
        <w:rPr>
          <w:rFonts w:ascii="Times New Roman" w:eastAsia="Times New Roman" w:hAnsi="Times New Roman" w:cs="Times New Roman"/>
          <w:i/>
          <w:iCs/>
          <w:sz w:val="24"/>
          <w:szCs w:val="24"/>
        </w:rPr>
        <w:t>The Antikythera Mechanism and the mechanical universe</w:t>
      </w:r>
      <w:r w:rsidRPr="007B503F">
        <w:rPr>
          <w:rFonts w:ascii="Times New Roman" w:eastAsia="Times New Roman" w:hAnsi="Times New Roman" w:cs="Times New Roman"/>
          <w:sz w:val="24"/>
          <w:szCs w:val="24"/>
        </w:rPr>
        <w:t xml:space="preserve">. </w:t>
      </w:r>
    </w:p>
    <w:p w14:paraId="69A416DA"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Freeth, T. et al. (2006). </w:t>
      </w:r>
      <w:r w:rsidRPr="007B503F">
        <w:rPr>
          <w:rFonts w:ascii="Times New Roman" w:eastAsia="Times New Roman" w:hAnsi="Times New Roman" w:cs="Times New Roman"/>
          <w:i/>
          <w:iCs/>
          <w:sz w:val="24"/>
          <w:szCs w:val="24"/>
        </w:rPr>
        <w:t>Decoding the ancient Greek astronomical calculator</w:t>
      </w:r>
      <w:r w:rsidRPr="007B503F">
        <w:rPr>
          <w:rFonts w:ascii="Times New Roman" w:eastAsia="Times New Roman" w:hAnsi="Times New Roman" w:cs="Times New Roman"/>
          <w:sz w:val="24"/>
          <w:szCs w:val="24"/>
        </w:rPr>
        <w:t xml:space="preserve">. Nature. </w:t>
      </w:r>
    </w:p>
    <w:p w14:paraId="570D9577"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Krupp, E. C. (1997). </w:t>
      </w:r>
      <w:r w:rsidRPr="007B503F">
        <w:rPr>
          <w:rFonts w:ascii="Times New Roman" w:eastAsia="Times New Roman" w:hAnsi="Times New Roman" w:cs="Times New Roman"/>
          <w:i/>
          <w:iCs/>
          <w:sz w:val="24"/>
          <w:szCs w:val="24"/>
        </w:rPr>
        <w:t>Skywatchers, Shamans &amp; Kings</w:t>
      </w:r>
      <w:r w:rsidRPr="007B503F">
        <w:rPr>
          <w:rFonts w:ascii="Times New Roman" w:eastAsia="Times New Roman" w:hAnsi="Times New Roman" w:cs="Times New Roman"/>
          <w:sz w:val="24"/>
          <w:szCs w:val="24"/>
        </w:rPr>
        <w:t xml:space="preserve">. </w:t>
      </w:r>
    </w:p>
    <w:p w14:paraId="3F2BE221"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Lisiecki, L. E., &amp; Raymo, M. E. (2005). </w:t>
      </w:r>
      <w:r w:rsidRPr="007B503F">
        <w:rPr>
          <w:rFonts w:ascii="Times New Roman" w:eastAsia="Times New Roman" w:hAnsi="Times New Roman" w:cs="Times New Roman"/>
          <w:i/>
          <w:iCs/>
          <w:sz w:val="24"/>
          <w:szCs w:val="24"/>
        </w:rPr>
        <w:t>A Pliocene-Pleistocene stack of oxygen isotope records</w:t>
      </w:r>
      <w:r w:rsidRPr="007B503F">
        <w:rPr>
          <w:rFonts w:ascii="Times New Roman" w:eastAsia="Times New Roman" w:hAnsi="Times New Roman" w:cs="Times New Roman"/>
          <w:sz w:val="24"/>
          <w:szCs w:val="24"/>
        </w:rPr>
        <w:t xml:space="preserve">. </w:t>
      </w:r>
    </w:p>
    <w:p w14:paraId="118ED50C"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Meeus, J. (1998). </w:t>
      </w:r>
      <w:r w:rsidRPr="007B503F">
        <w:rPr>
          <w:rFonts w:ascii="Times New Roman" w:eastAsia="Times New Roman" w:hAnsi="Times New Roman" w:cs="Times New Roman"/>
          <w:i/>
          <w:iCs/>
          <w:sz w:val="24"/>
          <w:szCs w:val="24"/>
        </w:rPr>
        <w:t>Astronomical Algorithms</w:t>
      </w:r>
      <w:r w:rsidRPr="007B503F">
        <w:rPr>
          <w:rFonts w:ascii="Times New Roman" w:eastAsia="Times New Roman" w:hAnsi="Times New Roman" w:cs="Times New Roman"/>
          <w:sz w:val="24"/>
          <w:szCs w:val="24"/>
        </w:rPr>
        <w:t xml:space="preserve">. </w:t>
      </w:r>
    </w:p>
    <w:p w14:paraId="2F8FE4A8"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NASA (2012). </w:t>
      </w:r>
      <w:r w:rsidRPr="007B503F">
        <w:rPr>
          <w:rFonts w:ascii="Times New Roman" w:eastAsia="Times New Roman" w:hAnsi="Times New Roman" w:cs="Times New Roman"/>
          <w:i/>
          <w:iCs/>
          <w:sz w:val="24"/>
          <w:szCs w:val="24"/>
        </w:rPr>
        <w:t>Planetary alignment myths</w:t>
      </w:r>
      <w:r w:rsidRPr="007B503F">
        <w:rPr>
          <w:rFonts w:ascii="Times New Roman" w:eastAsia="Times New Roman" w:hAnsi="Times New Roman" w:cs="Times New Roman"/>
          <w:sz w:val="24"/>
          <w:szCs w:val="24"/>
        </w:rPr>
        <w:t xml:space="preserve">. </w:t>
      </w:r>
    </w:p>
    <w:p w14:paraId="3E43DCD2"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Renfrew, C., &amp; Bahn, P. (2016). </w:t>
      </w:r>
      <w:r w:rsidRPr="007B503F">
        <w:rPr>
          <w:rFonts w:ascii="Times New Roman" w:eastAsia="Times New Roman" w:hAnsi="Times New Roman" w:cs="Times New Roman"/>
          <w:i/>
          <w:iCs/>
          <w:sz w:val="24"/>
          <w:szCs w:val="24"/>
        </w:rPr>
        <w:t>Archaeology: Theories, Methods, and Practice</w:t>
      </w:r>
      <w:r w:rsidRPr="007B503F">
        <w:rPr>
          <w:rFonts w:ascii="Times New Roman" w:eastAsia="Times New Roman" w:hAnsi="Times New Roman" w:cs="Times New Roman"/>
          <w:sz w:val="24"/>
          <w:szCs w:val="24"/>
        </w:rPr>
        <w:t xml:space="preserve">. </w:t>
      </w:r>
    </w:p>
    <w:p w14:paraId="4C7B2B52"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Richards, E. G. (2013). </w:t>
      </w:r>
      <w:r w:rsidRPr="007B503F">
        <w:rPr>
          <w:rFonts w:ascii="Times New Roman" w:eastAsia="Times New Roman" w:hAnsi="Times New Roman" w:cs="Times New Roman"/>
          <w:i/>
          <w:iCs/>
          <w:sz w:val="24"/>
          <w:szCs w:val="24"/>
        </w:rPr>
        <w:t>Calendars</w:t>
      </w:r>
      <w:r w:rsidRPr="007B503F">
        <w:rPr>
          <w:rFonts w:ascii="Times New Roman" w:eastAsia="Times New Roman" w:hAnsi="Times New Roman" w:cs="Times New Roman"/>
          <w:sz w:val="24"/>
          <w:szCs w:val="24"/>
        </w:rPr>
        <w:t xml:space="preserve">. </w:t>
      </w:r>
    </w:p>
    <w:p w14:paraId="2C39CA1F" w14:textId="77777777" w:rsidR="007B503F" w:rsidRPr="007B503F" w:rsidRDefault="007B503F" w:rsidP="007B50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503F">
        <w:rPr>
          <w:rFonts w:ascii="Times New Roman" w:eastAsia="Times New Roman" w:hAnsi="Times New Roman" w:cs="Times New Roman"/>
          <w:sz w:val="24"/>
          <w:szCs w:val="24"/>
        </w:rPr>
        <w:t xml:space="preserve">Ruggles, C. (2015). </w:t>
      </w:r>
      <w:r w:rsidRPr="007B503F">
        <w:rPr>
          <w:rFonts w:ascii="Times New Roman" w:eastAsia="Times New Roman" w:hAnsi="Times New Roman" w:cs="Times New Roman"/>
          <w:i/>
          <w:iCs/>
          <w:sz w:val="24"/>
          <w:szCs w:val="24"/>
        </w:rPr>
        <w:t xml:space="preserve">Handbook of </w:t>
      </w:r>
      <w:proofErr w:type="spellStart"/>
      <w:r w:rsidRPr="007B503F">
        <w:rPr>
          <w:rFonts w:ascii="Times New Roman" w:eastAsia="Times New Roman" w:hAnsi="Times New Roman" w:cs="Times New Roman"/>
          <w:i/>
          <w:iCs/>
          <w:sz w:val="24"/>
          <w:szCs w:val="24"/>
        </w:rPr>
        <w:t>Archaeoastronomy</w:t>
      </w:r>
      <w:proofErr w:type="spellEnd"/>
      <w:r w:rsidRPr="007B503F">
        <w:rPr>
          <w:rFonts w:ascii="Times New Roman" w:eastAsia="Times New Roman" w:hAnsi="Times New Roman" w:cs="Times New Roman"/>
          <w:i/>
          <w:iCs/>
          <w:sz w:val="24"/>
          <w:szCs w:val="24"/>
        </w:rPr>
        <w:t xml:space="preserve"> and Ethnoastronomy</w:t>
      </w:r>
      <w:r w:rsidRPr="007B503F">
        <w:rPr>
          <w:rFonts w:ascii="Times New Roman" w:eastAsia="Times New Roman" w:hAnsi="Times New Roman" w:cs="Times New Roman"/>
          <w:sz w:val="24"/>
          <w:szCs w:val="24"/>
        </w:rPr>
        <w:t>.</w:t>
      </w:r>
    </w:p>
    <w:p w14:paraId="504C8DEA" w14:textId="3C53B115" w:rsidR="00DE7211" w:rsidRPr="007B503F" w:rsidRDefault="007B503F" w:rsidP="007B503F">
      <w:r>
        <w:rPr>
          <w:noProof/>
        </w:rPr>
        <w:lastRenderedPageBreak/>
        <w:drawing>
          <wp:inline distT="0" distB="0" distL="0" distR="0" wp14:anchorId="71BD42E0" wp14:editId="73631FBA">
            <wp:extent cx="5486400" cy="8229600"/>
            <wp:effectExtent l="0" t="0" r="0" b="0"/>
            <wp:docPr id="17951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76311" name="Picture 1795176311"/>
                    <pic:cNvPicPr/>
                  </pic:nvPicPr>
                  <pic:blipFill>
                    <a:blip r:embed="rId6"/>
                    <a:stretch>
                      <a:fillRect/>
                    </a:stretch>
                  </pic:blipFill>
                  <pic:spPr>
                    <a:xfrm>
                      <a:off x="0" y="0"/>
                      <a:ext cx="5486400" cy="8229600"/>
                    </a:xfrm>
                    <a:prstGeom prst="rect">
                      <a:avLst/>
                    </a:prstGeom>
                  </pic:spPr>
                </pic:pic>
              </a:graphicData>
            </a:graphic>
          </wp:inline>
        </w:drawing>
      </w:r>
    </w:p>
    <w:sectPr w:rsidR="00DE7211" w:rsidRPr="007B50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90207"/>
    <w:multiLevelType w:val="multilevel"/>
    <w:tmpl w:val="F5E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25EBA"/>
    <w:multiLevelType w:val="multilevel"/>
    <w:tmpl w:val="946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53965"/>
    <w:multiLevelType w:val="multilevel"/>
    <w:tmpl w:val="26D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E418A"/>
    <w:multiLevelType w:val="multilevel"/>
    <w:tmpl w:val="10C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B28EF"/>
    <w:multiLevelType w:val="multilevel"/>
    <w:tmpl w:val="1DC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C5DB9"/>
    <w:multiLevelType w:val="multilevel"/>
    <w:tmpl w:val="86BA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97F60"/>
    <w:multiLevelType w:val="multilevel"/>
    <w:tmpl w:val="C05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F5FDB"/>
    <w:multiLevelType w:val="multilevel"/>
    <w:tmpl w:val="5F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777CF"/>
    <w:multiLevelType w:val="multilevel"/>
    <w:tmpl w:val="30B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42589"/>
    <w:multiLevelType w:val="multilevel"/>
    <w:tmpl w:val="517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15B3D"/>
    <w:multiLevelType w:val="multilevel"/>
    <w:tmpl w:val="14A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1289D"/>
    <w:multiLevelType w:val="multilevel"/>
    <w:tmpl w:val="A8F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A08BF"/>
    <w:multiLevelType w:val="multilevel"/>
    <w:tmpl w:val="6E5A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5D2AC4"/>
    <w:multiLevelType w:val="multilevel"/>
    <w:tmpl w:val="974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1733B"/>
    <w:multiLevelType w:val="multilevel"/>
    <w:tmpl w:val="C19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C157E"/>
    <w:multiLevelType w:val="multilevel"/>
    <w:tmpl w:val="87F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89494">
    <w:abstractNumId w:val="8"/>
  </w:num>
  <w:num w:numId="2" w16cid:durableId="986086616">
    <w:abstractNumId w:val="6"/>
  </w:num>
  <w:num w:numId="3" w16cid:durableId="228928516">
    <w:abstractNumId w:val="5"/>
  </w:num>
  <w:num w:numId="4" w16cid:durableId="1018312392">
    <w:abstractNumId w:val="4"/>
  </w:num>
  <w:num w:numId="5" w16cid:durableId="213009025">
    <w:abstractNumId w:val="7"/>
  </w:num>
  <w:num w:numId="6" w16cid:durableId="671568560">
    <w:abstractNumId w:val="3"/>
  </w:num>
  <w:num w:numId="7" w16cid:durableId="2026204866">
    <w:abstractNumId w:val="2"/>
  </w:num>
  <w:num w:numId="8" w16cid:durableId="1567836561">
    <w:abstractNumId w:val="1"/>
  </w:num>
  <w:num w:numId="9" w16cid:durableId="1100370727">
    <w:abstractNumId w:val="0"/>
  </w:num>
  <w:num w:numId="10" w16cid:durableId="1797409842">
    <w:abstractNumId w:val="18"/>
  </w:num>
  <w:num w:numId="11" w16cid:durableId="541871377">
    <w:abstractNumId w:val="23"/>
  </w:num>
  <w:num w:numId="12" w16cid:durableId="1554851739">
    <w:abstractNumId w:val="22"/>
  </w:num>
  <w:num w:numId="13" w16cid:durableId="965431135">
    <w:abstractNumId w:val="15"/>
  </w:num>
  <w:num w:numId="14" w16cid:durableId="497618591">
    <w:abstractNumId w:val="13"/>
  </w:num>
  <w:num w:numId="15" w16cid:durableId="294675093">
    <w:abstractNumId w:val="16"/>
  </w:num>
  <w:num w:numId="16" w16cid:durableId="449319497">
    <w:abstractNumId w:val="20"/>
  </w:num>
  <w:num w:numId="17" w16cid:durableId="130174453">
    <w:abstractNumId w:val="17"/>
  </w:num>
  <w:num w:numId="18" w16cid:durableId="910385790">
    <w:abstractNumId w:val="9"/>
  </w:num>
  <w:num w:numId="19" w16cid:durableId="1119182604">
    <w:abstractNumId w:val="19"/>
  </w:num>
  <w:num w:numId="20" w16cid:durableId="510684117">
    <w:abstractNumId w:val="10"/>
  </w:num>
  <w:num w:numId="21" w16cid:durableId="314993253">
    <w:abstractNumId w:val="14"/>
  </w:num>
  <w:num w:numId="22" w16cid:durableId="743800570">
    <w:abstractNumId w:val="24"/>
  </w:num>
  <w:num w:numId="23" w16cid:durableId="1318994302">
    <w:abstractNumId w:val="11"/>
  </w:num>
  <w:num w:numId="24" w16cid:durableId="1298535074">
    <w:abstractNumId w:val="21"/>
  </w:num>
  <w:num w:numId="25" w16cid:durableId="1365181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03F"/>
    <w:rsid w:val="00AA1D8D"/>
    <w:rsid w:val="00B47730"/>
    <w:rsid w:val="00C66426"/>
    <w:rsid w:val="00CB0664"/>
    <w:rsid w:val="00DE7211"/>
    <w:rsid w:val="00F66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32B25"/>
  <w14:defaultImageDpi w14:val="300"/>
  <w15:docId w15:val="{38A1197C-0968-401B-8E7C-55E5CBB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2026-04-23T16:52:00Z</dcterms:modified>
  <cp:category/>
</cp:coreProperties>
</file>