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50B7D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511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Photon Flux, Neutral Rhythms, and a Synchronization-Control Framework for High-Speed Space Systems</w:t>
      </w:r>
    </w:p>
    <w:p w14:paraId="26D69048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Abstract</w:t>
      </w:r>
    </w:p>
    <w:p w14:paraId="1069D3C8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Photons are the fundamental quanta of the electromagnetic field and provide a direct bridge between theoretical physics and measurable engineering systems. This work develops a calculation-driven framework for photon energy, photon flux, momentum transfer, and radiation pressure, and embeds these quantities within a structured time-dependent environmental model referred to as neutral rhythm. The framework is extended through a conservative synchronization layer, termed Curvature Synchronization Theory, defined here strictly as a control and navigation methodology rather than a modification of established physical laws. A unifying equation is introduced to connect photon dynamics, environmental structure, and timing control into a single optimization framework. The paper emphasizes falsifiability, measurable predictions, and engineering constraints, positioning photon-based interactions as a realistic component of high-speed, non–faster-than-light spacecraft systems.</w:t>
      </w:r>
    </w:p>
    <w:p w14:paraId="46EE46EB" w14:textId="2802BAB8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23861B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Introduction</w:t>
      </w:r>
    </w:p>
    <w:p w14:paraId="73DC8063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The transition from theoretical physics to engineering application requires not only valid equations but also structured workflows that translate physical quantities into measurable outcomes. Photon-based interactions, governed by well-established principles from quantum theory and electromagnetism, offer such a bridge. Foundational contributions by Max Planck and Albert Einstein established that light carries quantized energy, while James Clerk Maxwell demonstrated that electromagnetic fields can transmit momentum.</w:t>
      </w:r>
    </w:p>
    <w:p w14:paraId="6D365A36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This paper builds on these foundations without modification. Its objective is not to introduce new photon physics, but to organize existing physics into a coherent engineering framework capable of supporting propulsion analysis, navigation timing, and environmental synchronization.</w:t>
      </w:r>
    </w:p>
    <w:p w14:paraId="592FBA62" w14:textId="6FC037B7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E29AE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Photon Fundamentals</w:t>
      </w:r>
    </w:p>
    <w:p w14:paraId="1561B727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Photon energy is defined by:</w:t>
      </w:r>
    </w:p>
    <w:p w14:paraId="60BC1CD2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 xml:space="preserve">E = 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h·c</w:t>
      </w:r>
      <w:proofErr w:type="spellEnd"/>
      <w:r w:rsidRPr="009511D8">
        <w:rPr>
          <w:rFonts w:ascii="Times New Roman" w:eastAsia="Times New Roman" w:hAnsi="Times New Roman" w:cs="Times New Roman"/>
          <w:sz w:val="24"/>
          <w:szCs w:val="24"/>
        </w:rPr>
        <w:t xml:space="preserve"> / λ</w:t>
      </w:r>
    </w:p>
    <w:p w14:paraId="2BAA9356" w14:textId="4B49F81C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t>equivalent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E30510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 xml:space="preserve">E = 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h·f</w:t>
      </w:r>
      <w:proofErr w:type="spellEnd"/>
    </w:p>
    <w:p w14:paraId="254600D8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lastRenderedPageBreak/>
        <w:t>Momentum is given by:</w:t>
      </w:r>
    </w:p>
    <w:p w14:paraId="099B23A2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 = E / c</w:t>
      </w:r>
    </w:p>
    <w:p w14:paraId="1FB2A411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Photon flux:</w:t>
      </w:r>
    </w:p>
    <w:p w14:paraId="234CEC15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Φ = I / E</w:t>
      </w:r>
    </w:p>
    <w:p w14:paraId="5909952E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Radiation pressure:</w:t>
      </w:r>
    </w:p>
    <w:p w14:paraId="5FACDE59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 = I / c (absorption)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P = 2I / c (reflection)</w:t>
      </w:r>
    </w:p>
    <w:p w14:paraId="05DAF7F8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These relations allow direct conversion from irradiance to force and acceleration, enabling practical system-level calculations. The dimensional consistency of these expressions ensures physical validity:</w:t>
      </w:r>
    </w:p>
    <w:p w14:paraId="3C678D55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(W/m²) / (m/s) = N/m²</w:t>
      </w:r>
    </w:p>
    <w:p w14:paraId="6BA5BE1C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This confirms that radiation pressure behaves as a true mechanical force.</w:t>
      </w:r>
    </w:p>
    <w:p w14:paraId="507B15E8" w14:textId="0BC1F7DE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04481D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Neutral Rhythm: Time-Structured Photon Environment</w:t>
      </w:r>
    </w:p>
    <w:p w14:paraId="484F4A6A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Photon environments are not static. They exhibit structured temporal variation defined as:</w:t>
      </w:r>
    </w:p>
    <w:p w14:paraId="24E6A218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 xml:space="preserve">I(t) = I₀ + 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ΔI_day</w:t>
      </w:r>
      <w:proofErr w:type="spellEnd"/>
      <w:r w:rsidRPr="009511D8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ΔI_season</w:t>
      </w:r>
      <w:proofErr w:type="spellEnd"/>
      <w:r w:rsidRPr="009511D8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ΔI_solar</w:t>
      </w:r>
      <w:proofErr w:type="spellEnd"/>
    </w:p>
    <w:p w14:paraId="3EE5478A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This model captures the periodic and stochastic components of photon availability. For engineering systems, this implies that photon-based processes operate within a time-varying field that can be predicted, modeled, and potentially optimized.</w:t>
      </w:r>
    </w:p>
    <w:p w14:paraId="7CF64448" w14:textId="3C266523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A6857B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Engineering Workflow</w:t>
      </w:r>
    </w:p>
    <w:p w14:paraId="255B74F6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A repeatable calculation sequence transforms environmental inputs into engineering outputs:</w:t>
      </w:r>
    </w:p>
    <w:p w14:paraId="40A2BA76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Select irradiance I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Select wavelength λ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Compute photon energy E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Compute flux Φ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Compute pressure P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Convert to force F and acceleration a</w:t>
      </w:r>
    </w:p>
    <w:p w14:paraId="3DD82A71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This workflow provides a practical bridge between theoretical physics and mission design.</w:t>
      </w:r>
    </w:p>
    <w:p w14:paraId="28E10845" w14:textId="7AD6097B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070306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Unified Control–Photon Interaction Equation</w:t>
      </w:r>
    </w:p>
    <w:p w14:paraId="140BF3B8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To integrate photon physics, environmental structure, and synchronization control, a unified functional is introduced:</w:t>
      </w:r>
    </w:p>
    <w:p w14:paraId="29919AF5" w14:textId="77777777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cr m:val="script"/>
            </m:rPr>
            <w:rPr>
              <w:rFonts w:ascii="Cambria Math" w:eastAsia="Times New Roman" w:hAnsi="Cambria Math" w:cs="Times New Roman"/>
              <w:sz w:val="24"/>
              <w:szCs w:val="24"/>
            </w:rPr>
            <m:t>L=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α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+β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Φ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E+γ(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+δ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env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1F27CEC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This equation represents an optimization framework rather than a new physical law. Each term has a clear interpretation:</w:t>
      </w:r>
    </w:p>
    <w:p w14:paraId="5EAF545B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The first term represents radiation pressure contribution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The second term captures photon energy density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The third term penalizes timing mismatch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The fourth term represents environmental gradients</w:t>
      </w:r>
    </w:p>
    <w:p w14:paraId="0744131C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This formulation allows navigation and control systems to operate in a physically grounded, optimization-driven manner.</w:t>
      </w:r>
    </w:p>
    <w:p w14:paraId="599DC9CD" w14:textId="781FF034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5392E5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CST Synchronization Framework</w:t>
      </w:r>
    </w:p>
    <w:p w14:paraId="4237115D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Curvature Synchronization Theory is defined here as:</w:t>
      </w:r>
    </w:p>
    <w:p w14:paraId="55A20323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 xml:space="preserve">ΔT(t) = 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T_vehicle</w:t>
      </w:r>
      <w:proofErr w:type="spellEnd"/>
      <w:r w:rsidRPr="009511D8">
        <w:rPr>
          <w:rFonts w:ascii="Times New Roman" w:eastAsia="Times New Roman" w:hAnsi="Times New Roman" w:cs="Times New Roman"/>
          <w:sz w:val="24"/>
          <w:szCs w:val="24"/>
        </w:rPr>
        <w:t xml:space="preserve"> − 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T_reference</w:t>
      </w:r>
      <w:proofErr w:type="spellEnd"/>
    </w:p>
    <w:p w14:paraId="435F3433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The objective is to maintain bounded timing error:</w:t>
      </w:r>
    </w:p>
    <w:p w14:paraId="3662643E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J = w₁(ΔT)² + w₂(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dΔT</w:t>
      </w:r>
      <w:proofErr w:type="spellEnd"/>
      <w:r w:rsidRPr="009511D8">
        <w:rPr>
          <w:rFonts w:ascii="Times New Roman" w:eastAsia="Times New Roman" w:hAnsi="Times New Roman" w:cs="Times New Roman"/>
          <w:sz w:val="24"/>
          <w:szCs w:val="24"/>
        </w:rPr>
        <w:t>/dt)² + w₃(environment mismatch)</w:t>
      </w:r>
    </w:p>
    <w:p w14:paraId="77AC5E96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Control actions are derived as:</w:t>
      </w:r>
    </w:p>
    <w:p w14:paraId="2AB585F2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u(t) = −K₁ΔT − K₂(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dΔT</w:t>
      </w:r>
      <w:proofErr w:type="spellEnd"/>
      <w:r w:rsidRPr="009511D8">
        <w:rPr>
          <w:rFonts w:ascii="Times New Roman" w:eastAsia="Times New Roman" w:hAnsi="Times New Roman" w:cs="Times New Roman"/>
          <w:sz w:val="24"/>
          <w:szCs w:val="24"/>
        </w:rPr>
        <w:t>/dt) − K₃</w:t>
      </w:r>
      <w:r w:rsidRPr="009511D8">
        <w:rPr>
          <w:rFonts w:ascii="Cambria Math" w:eastAsia="Times New Roman" w:hAnsi="Cambria Math" w:cs="Cambria Math"/>
          <w:sz w:val="24"/>
          <w:szCs w:val="24"/>
        </w:rPr>
        <w:t>∇</w:t>
      </w:r>
      <w:proofErr w:type="spellStart"/>
      <w:r w:rsidRPr="009511D8">
        <w:rPr>
          <w:rFonts w:ascii="Times New Roman" w:eastAsia="Times New Roman" w:hAnsi="Times New Roman" w:cs="Times New Roman"/>
          <w:sz w:val="24"/>
          <w:szCs w:val="24"/>
        </w:rPr>
        <w:t>P_env</w:t>
      </w:r>
      <w:proofErr w:type="spellEnd"/>
    </w:p>
    <w:p w14:paraId="10E06CA9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This framework does not modify spacetime. It operates strictly as a control-layer optimization strategy.</w:t>
      </w:r>
    </w:p>
    <w:p w14:paraId="0CB53769" w14:textId="1D6786D1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1B6A79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Physical Constraints</w:t>
      </w:r>
    </w:p>
    <w:p w14:paraId="79D067B0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Any realistic system must respect physical limitations:</w:t>
      </w:r>
    </w:p>
    <w:p w14:paraId="4B26D2EF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Power constraints limit beam-based photon systems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Thermal constraints restrict sustained exposure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</w:r>
      <w:r w:rsidRPr="009511D8">
        <w:rPr>
          <w:rFonts w:ascii="Times New Roman" w:eastAsia="Times New Roman" w:hAnsi="Times New Roman" w:cs="Times New Roman"/>
          <w:sz w:val="24"/>
          <w:szCs w:val="24"/>
        </w:rPr>
        <w:lastRenderedPageBreak/>
        <w:t>Material limits reduce reflectivity and efficiency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Atmospheric and plasma interactions alter photon propagation</w:t>
      </w:r>
    </w:p>
    <w:p w14:paraId="2B76E860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These constraints ensure that the framework remains grounded in achievable engineering.</w:t>
      </w:r>
    </w:p>
    <w:p w14:paraId="0BBD84A5" w14:textId="7C4EEC8E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965249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Testable Predictions</w:t>
      </w:r>
    </w:p>
    <w:p w14:paraId="21DF71AB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The framework produces measurable outcomes:</w:t>
      </w:r>
    </w:p>
    <w:p w14:paraId="14187AFA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Photon-assisted propulsion produces measurable low-thrust acceleration consistent with radiation pressure equations</w:t>
      </w:r>
    </w:p>
    <w:p w14:paraId="0A327D3C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Synchronization control reduces pointing error in optical systems compared to unsynchronized baselines</w:t>
      </w:r>
    </w:p>
    <w:p w14:paraId="4DFB2FAA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Operating within predicted photon-environment windows reduces thermal variance and improves system stability</w:t>
      </w:r>
    </w:p>
    <w:p w14:paraId="38606C2E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These predictions can be validated through simulation, laboratory testing, or mission data.</w:t>
      </w:r>
    </w:p>
    <w:p w14:paraId="6622F394" w14:textId="03448E9E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E770EB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Applications to High-Speed Space Systems</w:t>
      </w:r>
    </w:p>
    <w:p w14:paraId="7AE3E6BF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Photon-based systems contribute to spacecraft design through:</w:t>
      </w:r>
    </w:p>
    <w:p w14:paraId="14182580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Low-thrust propulsion, demonstrated by missions such as IKAROS</w:t>
      </w:r>
    </w:p>
    <w:p w14:paraId="7D635991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Precision navigation using optical and timing signals</w:t>
      </w:r>
    </w:p>
    <w:p w14:paraId="6770071C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Environmental alignment for improved efficiency</w:t>
      </w:r>
    </w:p>
    <w:p w14:paraId="4FCDABB1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Hybrid propulsion architectures combining thrust and photon-assisted gain</w:t>
      </w:r>
    </w:p>
    <w:p w14:paraId="20407C12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Organizations such as NASA have demonstrated the feasibility of photon-driven systems at small scales, supporting the engineering validity of this approach.</w:t>
      </w:r>
    </w:p>
    <w:p w14:paraId="64E47F0D" w14:textId="27ABC22A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EAFEA0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Variability and Uncertainty</w:t>
      </w:r>
    </w:p>
    <w:p w14:paraId="4E36FEFD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Real systems must account for:</w:t>
      </w:r>
    </w:p>
    <w:p w14:paraId="2EE118F6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Spectral variation of sunlight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Atmospheric attenuation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Solar activity cycles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</w:r>
      <w:r w:rsidRPr="009511D8">
        <w:rPr>
          <w:rFonts w:ascii="Times New Roman" w:eastAsia="Times New Roman" w:hAnsi="Times New Roman" w:cs="Times New Roman"/>
          <w:sz w:val="24"/>
          <w:szCs w:val="24"/>
        </w:rPr>
        <w:lastRenderedPageBreak/>
        <w:t>Material degradation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Pointing and alignment losses</w:t>
      </w:r>
    </w:p>
    <w:p w14:paraId="0C87622C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These factors limit idealized performance and must be included in simulation models.</w:t>
      </w:r>
    </w:p>
    <w:p w14:paraId="40CDEC6E" w14:textId="4E23E503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F40583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Conclusion</w:t>
      </w:r>
    </w:p>
    <w:p w14:paraId="4A844C5B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Photon interactions provide a measurable and physically grounded pathway from theoretical equations to engineering applications. When combined with structured environmental modeling and synchronization-based control, these interactions form a coherent framework for improving efficiency in high-speed space systems. The approach remains fully consistent with established physics and does not require modification of relativity or electromagnetism. Its strength lies in integration, measurability, and testability.</w:t>
      </w:r>
    </w:p>
    <w:p w14:paraId="507209C3" w14:textId="52157CF4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ED5B5A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511D8">
        <w:rPr>
          <w:rFonts w:ascii="Times New Roman" w:eastAsia="Times New Roman" w:hAnsi="Times New Roman" w:cs="Times New Roman"/>
          <w:b/>
          <w:bCs/>
          <w:sz w:val="36"/>
          <w:szCs w:val="36"/>
        </w:rPr>
        <w:t>References</w:t>
      </w:r>
    </w:p>
    <w:p w14:paraId="49D6598C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Max Planck. On the Law of Distribution of Energy in the Normal Spectrum</w:t>
      </w:r>
    </w:p>
    <w:p w14:paraId="3F361F22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Albert Einstein. On a Heuristic Viewpoint Concerning the Production and Transformation of Light</w:t>
      </w:r>
    </w:p>
    <w:p w14:paraId="1A553BF0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James Clerk Maxwell. A Dynamical Theory of the Electromagnetic Field</w:t>
      </w:r>
    </w:p>
    <w:p w14:paraId="52E91ED5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NASA. Solar Radiation and Spacecraft Systems</w:t>
      </w:r>
    </w:p>
    <w:p w14:paraId="5450B781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IKAROS. Demonstration of Solar Sail Technology</w:t>
      </w:r>
    </w:p>
    <w:p w14:paraId="379CBFCF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Kopp and Lean. A New, Lower Value of Total Solar Irradiance</w:t>
      </w:r>
    </w:p>
    <w:p w14:paraId="137729EA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ASTM G173 Solar Spectral Irradiance Standard</w:t>
      </w:r>
    </w:p>
    <w:p w14:paraId="5D8FB4F2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ANSI Z136 Laser Safety Standard</w:t>
      </w:r>
    </w:p>
    <w:p w14:paraId="6D1D97EE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sz w:val="24"/>
          <w:szCs w:val="24"/>
        </w:rPr>
        <w:t>IEC 60825 Safety of Laser Products</w:t>
      </w:r>
    </w:p>
    <w:p w14:paraId="2D42AC08" w14:textId="77777777" w:rsidR="009511D8" w:rsidRDefault="009511D8" w:rsidP="009511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18221E70" w14:textId="77777777" w:rsidR="009511D8" w:rsidRDefault="009511D8" w:rsidP="009511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5A54749A" w14:textId="77777777" w:rsidR="009511D8" w:rsidRDefault="009511D8" w:rsidP="009511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648A8E8F" w14:textId="6FF66382" w:rsidR="009511D8" w:rsidRPr="009511D8" w:rsidRDefault="009511D8" w:rsidP="009511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511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Photon → Force → Motion Pipeline</w:t>
      </w:r>
    </w:p>
    <w:p w14:paraId="328C0234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150A795" wp14:editId="6761DFE1">
            <wp:extent cx="2761864" cy="2276475"/>
            <wp:effectExtent l="0" t="0" r="635" b="0"/>
            <wp:docPr id="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249" cy="22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D6134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E1FBE6D" wp14:editId="0B0D2C45">
            <wp:extent cx="2762250" cy="2399705"/>
            <wp:effectExtent l="0" t="0" r="0" b="635"/>
            <wp:docPr id="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766" cy="2407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6D957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367E9E6" wp14:editId="684A50D8">
            <wp:extent cx="2856548" cy="1632313"/>
            <wp:effectExtent l="0" t="0" r="1270" b="6350"/>
            <wp:docPr id="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349" cy="1644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CA318" w14:textId="707A8301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5983F1" w14:textId="6B887DC7" w:rsidR="009511D8" w:rsidRPr="009511D8" w:rsidRDefault="009511D8" w:rsidP="009511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511D8">
        <w:rPr>
          <w:rFonts w:ascii="Times New Roman" w:eastAsia="Times New Roman" w:hAnsi="Times New Roman" w:cs="Times New Roman"/>
          <w:b/>
          <w:bCs/>
          <w:sz w:val="27"/>
          <w:szCs w:val="27"/>
        </w:rPr>
        <w:t>Caption (</w:t>
      </w:r>
      <w:r w:rsidRPr="009511D8">
        <w:rPr>
          <w:rFonts w:ascii="Times New Roman" w:eastAsia="Times New Roman" w:hAnsi="Times New Roman" w:cs="Times New Roman"/>
          <w:b/>
          <w:bCs/>
          <w:sz w:val="27"/>
          <w:szCs w:val="27"/>
        </w:rPr>
        <w:t>used</w:t>
      </w:r>
      <w:r w:rsidRPr="009511D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in paper)</w:t>
      </w:r>
    </w:p>
    <w:p w14:paraId="5B27A58B" w14:textId="2E29B9B1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b/>
          <w:bCs/>
          <w:sz w:val="24"/>
          <w:szCs w:val="24"/>
        </w:rPr>
        <w:t>Figure 1. Photon-to-motion conversion pipeline.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 xml:space="preserve">Incident irradiance is converted into photon flux, which produces radiation pressure. This pressure generates force on 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t>the surface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t>, resulting in acceleration and cumulative velocity change over time.</w:t>
      </w:r>
    </w:p>
    <w:p w14:paraId="1B069C0A" w14:textId="72062306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9CFD9A" w14:textId="7E22D192" w:rsidR="009511D8" w:rsidRPr="009511D8" w:rsidRDefault="009511D8" w:rsidP="009511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511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Neutral Rhythm (Time-Structured Photon Field)</w:t>
      </w:r>
    </w:p>
    <w:p w14:paraId="0CB9F236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EB9122A" wp14:editId="366B7AD2">
            <wp:extent cx="5486400" cy="3437984"/>
            <wp:effectExtent l="0" t="0" r="0" b="0"/>
            <wp:docPr id="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834" cy="3443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DBF5B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3BDF60F" wp14:editId="248263F3">
            <wp:extent cx="4218940" cy="3703932"/>
            <wp:effectExtent l="0" t="0" r="0" b="0"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33" cy="371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2F9AC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863015" wp14:editId="788493B8">
            <wp:extent cx="4400550" cy="2933700"/>
            <wp:effectExtent l="0" t="0" r="0" b="0"/>
            <wp:docPr id="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11FBC" w14:textId="7321C818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0B70D9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511D8">
        <w:rPr>
          <w:rFonts w:ascii="Times New Roman" w:eastAsia="Times New Roman" w:hAnsi="Times New Roman" w:cs="Times New Roman"/>
          <w:b/>
          <w:bCs/>
          <w:sz w:val="27"/>
          <w:szCs w:val="27"/>
        </w:rPr>
        <w:t>Caption</w:t>
      </w:r>
    </w:p>
    <w:p w14:paraId="26F510EC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b/>
          <w:bCs/>
          <w:sz w:val="24"/>
          <w:szCs w:val="24"/>
        </w:rPr>
        <w:t>Figure 2. Neutral rhythm model of photon flux.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Photon irradiance varies as a structured time-dependent signal composed of daily, seasonal, and solar-cycle components. This temporal structure defines the operating environment for photon-based systems.</w:t>
      </w:r>
    </w:p>
    <w:p w14:paraId="2296EA47" w14:textId="56361072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A676A5" w14:textId="5F48A78E" w:rsidR="009511D8" w:rsidRPr="009511D8" w:rsidRDefault="009511D8" w:rsidP="009511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511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CST Synchronization Window</w:t>
      </w:r>
    </w:p>
    <w:p w14:paraId="17224B0C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5ED10BF" wp14:editId="5AE3FAD9">
            <wp:extent cx="4752975" cy="2684551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684" cy="269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5BA31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D9DC146" wp14:editId="2D5B357D">
            <wp:extent cx="3952875" cy="2435852"/>
            <wp:effectExtent l="0" t="0" r="0" b="3175"/>
            <wp:docPr id="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526" cy="2442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4B170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61A3F1" wp14:editId="45391382">
            <wp:extent cx="3735547" cy="4782522"/>
            <wp:effectExtent l="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797" cy="4800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7BBAD" w14:textId="57FC15A2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67B935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511D8">
        <w:rPr>
          <w:rFonts w:ascii="Times New Roman" w:eastAsia="Times New Roman" w:hAnsi="Times New Roman" w:cs="Times New Roman"/>
          <w:b/>
          <w:bCs/>
          <w:sz w:val="27"/>
          <w:szCs w:val="27"/>
        </w:rPr>
        <w:t>Caption</w:t>
      </w:r>
    </w:p>
    <w:p w14:paraId="7B390C87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b/>
          <w:bCs/>
          <w:sz w:val="24"/>
          <w:szCs w:val="24"/>
        </w:rPr>
        <w:t>Figure 3. CST synchronization control band.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The timing difference ΔT between vehicle and reference is maintained within a bounded region. Remaining within this band improves system stability, guidance accuracy, and environmental alignment.</w:t>
      </w:r>
    </w:p>
    <w:p w14:paraId="56A294EC" w14:textId="5249101D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80192" w14:textId="2B042A5D" w:rsidR="009511D8" w:rsidRPr="009511D8" w:rsidRDefault="009511D8" w:rsidP="009511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511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Unified Control–Photon Interaction Model</w:t>
      </w:r>
    </w:p>
    <w:p w14:paraId="1DA0FDBB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A99D310" wp14:editId="08F8C213">
            <wp:extent cx="4533900" cy="2703702"/>
            <wp:effectExtent l="0" t="0" r="0" b="1905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6075" cy="2710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2B18B" w14:textId="77777777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3948678" wp14:editId="35147AD7">
            <wp:extent cx="4781550" cy="2063236"/>
            <wp:effectExtent l="0" t="0" r="0" b="0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08" cy="2067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20DB1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A06E4A9" wp14:editId="6BCEEF03">
            <wp:extent cx="4962525" cy="2137299"/>
            <wp:effectExtent l="0" t="0" r="0" b="0"/>
            <wp:docPr id="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501" cy="2145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4243C" w14:textId="39AE3C5E" w:rsid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C2EAC9" w14:textId="77777777" w:rsid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E46CED" w14:textId="77777777" w:rsid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1906BB" w14:textId="77777777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CEB89D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511D8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Caption</w:t>
      </w:r>
    </w:p>
    <w:p w14:paraId="418D15F6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b/>
          <w:bCs/>
          <w:sz w:val="24"/>
          <w:szCs w:val="24"/>
        </w:rPr>
        <w:t>Figure 4. Unified photon–control interaction framework.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Photon inputs, environmental gradients, and timing synchronization feed into an optimization layer that generates control actions. This system integrates physics and control without modifying underlying laws.</w:t>
      </w:r>
    </w:p>
    <w:p w14:paraId="5C9045B3" w14:textId="02F6D4A9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CEBADF" w14:textId="0D958D6E" w:rsidR="009511D8" w:rsidRPr="009511D8" w:rsidRDefault="009511D8" w:rsidP="009511D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511D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Solar Sail Acceleration Over Time</w:t>
      </w:r>
    </w:p>
    <w:p w14:paraId="06E3C47F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2C9DEB3" wp14:editId="45717E66">
            <wp:extent cx="3400425" cy="3324225"/>
            <wp:effectExtent l="0" t="0" r="9525" b="9525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5FA8D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E0AF52F" wp14:editId="3B77EE1E">
            <wp:extent cx="4962046" cy="2977920"/>
            <wp:effectExtent l="0" t="0" r="0" b="0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113" cy="2987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9D8D2" w14:textId="77777777" w:rsidR="009511D8" w:rsidRPr="009511D8" w:rsidRDefault="009511D8" w:rsidP="009511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B4D4FBE" wp14:editId="0FF91168">
            <wp:extent cx="6276975" cy="3867150"/>
            <wp:effectExtent l="0" t="0" r="9525" b="0"/>
            <wp:docPr id="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FFC2F" w14:textId="7CD6C44F" w:rsidR="009511D8" w:rsidRPr="009511D8" w:rsidRDefault="009511D8" w:rsidP="009511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1A4F58" w14:textId="77777777" w:rsidR="009511D8" w:rsidRPr="009511D8" w:rsidRDefault="009511D8" w:rsidP="009511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511D8">
        <w:rPr>
          <w:rFonts w:ascii="Times New Roman" w:eastAsia="Times New Roman" w:hAnsi="Times New Roman" w:cs="Times New Roman"/>
          <w:b/>
          <w:bCs/>
          <w:sz w:val="27"/>
          <w:szCs w:val="27"/>
        </w:rPr>
        <w:t>Caption</w:t>
      </w:r>
    </w:p>
    <w:p w14:paraId="2862CC9F" w14:textId="77777777" w:rsidR="009511D8" w:rsidRPr="009511D8" w:rsidRDefault="009511D8" w:rsidP="00951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11D8">
        <w:rPr>
          <w:rFonts w:ascii="Times New Roman" w:eastAsia="Times New Roman" w:hAnsi="Times New Roman" w:cs="Times New Roman"/>
          <w:b/>
          <w:bCs/>
          <w:sz w:val="24"/>
          <w:szCs w:val="24"/>
        </w:rPr>
        <w:t>Figure 5. Long-duration velocity accumulation.</w:t>
      </w:r>
      <w:r w:rsidRPr="009511D8">
        <w:rPr>
          <w:rFonts w:ascii="Times New Roman" w:eastAsia="Times New Roman" w:hAnsi="Times New Roman" w:cs="Times New Roman"/>
          <w:sz w:val="24"/>
          <w:szCs w:val="24"/>
        </w:rPr>
        <w:br/>
        <w:t>Small but continuous photon-induced acceleration produces measurable velocity gains over extended periods, consistent with solar sail mission profiles.</w:t>
      </w:r>
    </w:p>
    <w:p w14:paraId="73791BCB" w14:textId="2B3ECE52" w:rsidR="007D6373" w:rsidRPr="009511D8" w:rsidRDefault="007D6373" w:rsidP="009511D8"/>
    <w:sectPr w:rsidR="007D6373" w:rsidRPr="009511D8" w:rsidSect="00034616">
      <w:pgSz w:w="12240" w:h="15840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2951160">
    <w:abstractNumId w:val="8"/>
  </w:num>
  <w:num w:numId="2" w16cid:durableId="1518697122">
    <w:abstractNumId w:val="6"/>
  </w:num>
  <w:num w:numId="3" w16cid:durableId="1066680564">
    <w:abstractNumId w:val="5"/>
  </w:num>
  <w:num w:numId="4" w16cid:durableId="83576724">
    <w:abstractNumId w:val="4"/>
  </w:num>
  <w:num w:numId="5" w16cid:durableId="971324658">
    <w:abstractNumId w:val="7"/>
  </w:num>
  <w:num w:numId="6" w16cid:durableId="1759330285">
    <w:abstractNumId w:val="3"/>
  </w:num>
  <w:num w:numId="7" w16cid:durableId="1890989021">
    <w:abstractNumId w:val="2"/>
  </w:num>
  <w:num w:numId="8" w16cid:durableId="1726372148">
    <w:abstractNumId w:val="1"/>
  </w:num>
  <w:num w:numId="9" w16cid:durableId="1389642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6373"/>
    <w:rsid w:val="008F7E28"/>
    <w:rsid w:val="009511D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C743DC"/>
  <w14:defaultImageDpi w14:val="300"/>
  <w15:docId w15:val="{6F6AC120-3890-4569-9397-CBB7974D7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1257</Words>
  <Characters>7131</Characters>
  <Application>Microsoft Office Word</Application>
  <DocSecurity>0</DocSecurity>
  <Lines>125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Gabino Casanova</cp:lastModifiedBy>
  <cp:revision>2</cp:revision>
  <dcterms:created xsi:type="dcterms:W3CDTF">2013-12-23T23:15:00Z</dcterms:created>
  <dcterms:modified xsi:type="dcterms:W3CDTF">2026-04-13T00:39:00Z</dcterms:modified>
  <cp:category/>
</cp:coreProperties>
</file>