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6323" w14:textId="457105DB" w:rsidR="00526E6F" w:rsidRPr="00526E6F" w:rsidRDefault="00526E6F" w:rsidP="00526E6F">
      <w:pPr>
        <w:pStyle w:val="Heading1"/>
        <w:rPr>
          <w:rFonts w:ascii="Times New Roman" w:eastAsia="Times New Roman" w:hAnsi="Times New Roman" w:cs="Times New Roman"/>
          <w:color w:val="auto"/>
          <w:kern w:val="36"/>
          <w:sz w:val="48"/>
          <w:szCs w:val="48"/>
        </w:rPr>
      </w:pPr>
      <w:r w:rsidRPr="00526E6F">
        <w:rPr>
          <w:rFonts w:ascii="Times New Roman" w:eastAsia="Times New Roman" w:hAnsi="Times New Roman" w:cs="Times New Roman"/>
          <w:color w:val="auto"/>
          <w:kern w:val="36"/>
          <w:sz w:val="48"/>
          <w:szCs w:val="48"/>
        </w:rPr>
        <w:t>CST–Warp Drive &amp; Navigation Framework (v3 Upgrade)</w:t>
      </w:r>
    </w:p>
    <w:p w14:paraId="20B5F2A2"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Extended Theoretical Research Document with Physical Constraints, Algorithms, and Testability</w:t>
      </w:r>
    </w:p>
    <w:p w14:paraId="7F29FE2D" w14:textId="0B0B2C12"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t>Author: Gabino Casanova</w:t>
      </w:r>
      <w:r>
        <w:br/>
        <w:t>Project: Interstellar Star Clock / CST‑Warp Drive Initiative</w:t>
      </w:r>
    </w:p>
    <w:p w14:paraId="36DB8B2E"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Abstract</w:t>
      </w:r>
    </w:p>
    <w:p w14:paraId="1F774711"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This work extends the CST–Warp Drive framework into a more rigorous theoretical research model by integrating established principles from General Relativity, Quantum Mechanics, plasma physics, and statistical mechanics. The objective is not to claim physical realization, but to convert a broad equation-mapping system into a </w:t>
      </w:r>
      <w:r w:rsidRPr="00526E6F">
        <w:rPr>
          <w:rFonts w:ascii="Times New Roman" w:eastAsia="Times New Roman" w:hAnsi="Times New Roman" w:cs="Times New Roman"/>
          <w:b/>
          <w:bCs/>
          <w:sz w:val="24"/>
          <w:szCs w:val="24"/>
        </w:rPr>
        <w:t>structured, falsifiable, and simulation-ready theoretical framework</w:t>
      </w:r>
      <w:r w:rsidRPr="00526E6F">
        <w:rPr>
          <w:rFonts w:ascii="Times New Roman" w:eastAsia="Times New Roman" w:hAnsi="Times New Roman" w:cs="Times New Roman"/>
          <w:sz w:val="24"/>
          <w:szCs w:val="24"/>
        </w:rPr>
        <w:t>.</w:t>
      </w:r>
    </w:p>
    <w:p w14:paraId="3DEE2B78" w14:textId="713C1710"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The CST (Curvature Synchronization Theory) </w:t>
      </w:r>
      <w:r w:rsidRPr="00526E6F">
        <w:rPr>
          <w:rFonts w:ascii="Times New Roman" w:eastAsia="Times New Roman" w:hAnsi="Times New Roman" w:cs="Times New Roman"/>
          <w:sz w:val="24"/>
          <w:szCs w:val="24"/>
        </w:rPr>
        <w:t>approaches</w:t>
      </w:r>
      <w:r w:rsidRPr="00526E6F">
        <w:rPr>
          <w:rFonts w:ascii="Times New Roman" w:eastAsia="Times New Roman" w:hAnsi="Times New Roman" w:cs="Times New Roman"/>
          <w:sz w:val="24"/>
          <w:szCs w:val="24"/>
        </w:rPr>
        <w:t xml:space="preserve"> </w:t>
      </w:r>
      <w:r w:rsidRPr="00526E6F">
        <w:rPr>
          <w:rFonts w:ascii="Times New Roman" w:eastAsia="Times New Roman" w:hAnsi="Times New Roman" w:cs="Times New Roman"/>
          <w:sz w:val="24"/>
          <w:szCs w:val="24"/>
        </w:rPr>
        <w:t>reframe</w:t>
      </w:r>
      <w:r w:rsidRPr="00526E6F">
        <w:rPr>
          <w:rFonts w:ascii="Times New Roman" w:eastAsia="Times New Roman" w:hAnsi="Times New Roman" w:cs="Times New Roman"/>
          <w:sz w:val="24"/>
          <w:szCs w:val="24"/>
        </w:rPr>
        <w:t xml:space="preserve"> time as an active control variable, introducing synchronization between local and external reference frames as a stabilizing mechanism for hypothetical spacetime manipulation.</w:t>
      </w:r>
    </w:p>
    <w:p w14:paraId="15AA611C"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Foundational Physical Constraint Layer</w:t>
      </w:r>
    </w:p>
    <w:p w14:paraId="445C21C0"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Einstein Field Constraint</w:t>
      </w:r>
    </w:p>
    <w:p w14:paraId="1D878D88"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The system remains fundamentally constrained by:</w:t>
      </w:r>
    </w:p>
    <w:p w14:paraId="744D5885"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5649D668"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This equation defines the </w:t>
      </w:r>
      <w:r w:rsidRPr="00526E6F">
        <w:rPr>
          <w:rFonts w:ascii="Times New Roman" w:eastAsia="Times New Roman" w:hAnsi="Times New Roman" w:cs="Times New Roman"/>
          <w:b/>
          <w:bCs/>
          <w:sz w:val="24"/>
          <w:szCs w:val="24"/>
        </w:rPr>
        <w:t>minimum requirement</w:t>
      </w:r>
      <w:r w:rsidRPr="00526E6F">
        <w:rPr>
          <w:rFonts w:ascii="Times New Roman" w:eastAsia="Times New Roman" w:hAnsi="Times New Roman" w:cs="Times New Roman"/>
          <w:sz w:val="24"/>
          <w:szCs w:val="24"/>
        </w:rPr>
        <w:t xml:space="preserve"> for any warp-like structure: a stress–energy tensor capable of producing the desired curvature.</w:t>
      </w:r>
    </w:p>
    <w:p w14:paraId="69B349CB"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Upgrade Insight:</w:t>
      </w:r>
    </w:p>
    <w:p w14:paraId="1E22CDCF" w14:textId="77777777" w:rsidR="00526E6F" w:rsidRPr="00526E6F" w:rsidRDefault="00526E6F" w:rsidP="00526E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Your model currently maps equations → subsystems </w:t>
      </w:r>
    </w:p>
    <w:p w14:paraId="383E489B" w14:textId="77777777" w:rsidR="00526E6F" w:rsidRPr="00526E6F" w:rsidRDefault="00526E6F" w:rsidP="00526E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To improve realism, it must also map: </w:t>
      </w:r>
    </w:p>
    <w:p w14:paraId="487423F2" w14:textId="77777777" w:rsidR="00526E6F" w:rsidRPr="00526E6F" w:rsidRDefault="00526E6F" w:rsidP="00526E6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Required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w:p>
    <w:p w14:paraId="2A93D940" w14:textId="77777777" w:rsidR="00526E6F" w:rsidRPr="00526E6F" w:rsidRDefault="00526E6F" w:rsidP="00526E6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Energy density feasibility </w:t>
      </w:r>
    </w:p>
    <w:p w14:paraId="05023A08" w14:textId="77777777" w:rsidR="00526E6F" w:rsidRPr="00526E6F" w:rsidRDefault="00526E6F" w:rsidP="00526E6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Stability of geodesics </w:t>
      </w:r>
    </w:p>
    <w:p w14:paraId="4178E6D9"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lastRenderedPageBreak/>
        <w:t>Key Limitation:</w:t>
      </w:r>
      <w:r w:rsidRPr="00526E6F">
        <w:rPr>
          <w:rFonts w:ascii="Times New Roman" w:eastAsia="Times New Roman" w:hAnsi="Times New Roman" w:cs="Times New Roman"/>
          <w:sz w:val="24"/>
          <w:szCs w:val="24"/>
        </w:rPr>
        <w:br/>
        <w:t xml:space="preserve">Exotic matter or negative energy density is still required in classical warp solutions (Alcubierre, </w:t>
      </w:r>
      <w:proofErr w:type="spellStart"/>
      <w:r w:rsidRPr="00526E6F">
        <w:rPr>
          <w:rFonts w:ascii="Times New Roman" w:eastAsia="Times New Roman" w:hAnsi="Times New Roman" w:cs="Times New Roman"/>
          <w:sz w:val="24"/>
          <w:szCs w:val="24"/>
        </w:rPr>
        <w:t>Natário</w:t>
      </w:r>
      <w:proofErr w:type="spellEnd"/>
      <w:r w:rsidRPr="00526E6F">
        <w:rPr>
          <w:rFonts w:ascii="Times New Roman" w:eastAsia="Times New Roman" w:hAnsi="Times New Roman" w:cs="Times New Roman"/>
          <w:sz w:val="24"/>
          <w:szCs w:val="24"/>
        </w:rPr>
        <w:t>).</w:t>
      </w:r>
    </w:p>
    <w:p w14:paraId="7BF12167"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CST Core Extension (Refined)</w:t>
      </w:r>
    </w:p>
    <w:p w14:paraId="6C9B5611"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Timing Synchronization Constraint</w:t>
      </w:r>
    </w:p>
    <w:p w14:paraId="1E41A883"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w:br/>
          </m:r>
        </m:oMath>
      </m:oMathPara>
    </w:p>
    <w:p w14:paraId="57EA7770"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Upgrade:</w:t>
      </w:r>
      <w:r w:rsidRPr="00526E6F">
        <w:rPr>
          <w:rFonts w:ascii="Times New Roman" w:eastAsia="Times New Roman" w:hAnsi="Times New Roman" w:cs="Times New Roman"/>
          <w:sz w:val="24"/>
          <w:szCs w:val="24"/>
        </w:rPr>
        <w:br/>
        <w:t>Introduce control law:</w:t>
      </w:r>
    </w:p>
    <w:p w14:paraId="58F4F953"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d</m:t>
              </m:r>
            </m:sub>
          </m:sSub>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w:br/>
          </m:r>
        </m:oMath>
      </m:oMathPara>
    </w:p>
    <w:p w14:paraId="490DC5BC"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This transforms CST into a </w:t>
      </w:r>
      <w:r w:rsidRPr="00526E6F">
        <w:rPr>
          <w:rFonts w:ascii="Times New Roman" w:eastAsia="Times New Roman" w:hAnsi="Times New Roman" w:cs="Times New Roman"/>
          <w:b/>
          <w:bCs/>
          <w:sz w:val="24"/>
          <w:szCs w:val="24"/>
        </w:rPr>
        <w:t>feedback-controlled synchronization system</w:t>
      </w:r>
      <w:r w:rsidRPr="00526E6F">
        <w:rPr>
          <w:rFonts w:ascii="Times New Roman" w:eastAsia="Times New Roman" w:hAnsi="Times New Roman" w:cs="Times New Roman"/>
          <w:sz w:val="24"/>
          <w:szCs w:val="24"/>
        </w:rPr>
        <w:t>, not just a conceptual layer.</w:t>
      </w:r>
    </w:p>
    <w:p w14:paraId="30679C4F"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Interpretation:</w:t>
      </w:r>
    </w:p>
    <w:p w14:paraId="11E44277" w14:textId="77777777" w:rsidR="00526E6F" w:rsidRPr="00526E6F" w:rsidRDefault="00526E6F" w:rsidP="00526E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CST becomes a </w:t>
      </w:r>
      <w:r w:rsidRPr="00526E6F">
        <w:rPr>
          <w:rFonts w:ascii="Times New Roman" w:eastAsia="Times New Roman" w:hAnsi="Times New Roman" w:cs="Times New Roman"/>
          <w:b/>
          <w:bCs/>
          <w:sz w:val="24"/>
          <w:szCs w:val="24"/>
        </w:rPr>
        <w:t>phase-lock loop (PLL)</w:t>
      </w:r>
      <w:r w:rsidRPr="00526E6F">
        <w:rPr>
          <w:rFonts w:ascii="Times New Roman" w:eastAsia="Times New Roman" w:hAnsi="Times New Roman" w:cs="Times New Roman"/>
          <w:sz w:val="24"/>
          <w:szCs w:val="24"/>
        </w:rPr>
        <w:t xml:space="preserve"> for spacetime clocks </w:t>
      </w:r>
    </w:p>
    <w:p w14:paraId="7CD698CF" w14:textId="77777777" w:rsidR="00526E6F" w:rsidRPr="00526E6F" w:rsidRDefault="00526E6F" w:rsidP="00526E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Aligns with real systems used in: </w:t>
      </w:r>
    </w:p>
    <w:p w14:paraId="4FB12546" w14:textId="77777777" w:rsidR="00526E6F" w:rsidRPr="00526E6F" w:rsidRDefault="00526E6F" w:rsidP="00526E6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GPS relativity correction </w:t>
      </w:r>
    </w:p>
    <w:p w14:paraId="59EFD3CE" w14:textId="77777777" w:rsidR="00526E6F" w:rsidRPr="00526E6F" w:rsidRDefault="00526E6F" w:rsidP="00526E6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Atomic clock synchronization </w:t>
      </w:r>
    </w:p>
    <w:p w14:paraId="14CA6F37"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Quantum Coherence Layer (Reactor Stability)</w:t>
      </w:r>
    </w:p>
    <w:p w14:paraId="35194C2D"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Schrödinger Control Space</w:t>
      </w:r>
    </w:p>
    <w:p w14:paraId="268C20DB"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ℏ</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ψ</m:t>
              </m:r>
            </m:num>
            <m:den>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den>
          </m:f>
          <m:r>
            <w:rPr>
              <w:rFonts w:ascii="Cambria Math" w:eastAsia="Times New Roman" w:hAnsi="Cambria Math" w:cs="Times New Roman"/>
              <w:sz w:val="24"/>
              <w:szCs w:val="24"/>
            </w:rPr>
            <m:t>=</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H</m:t>
              </m:r>
            </m:e>
          </m:acc>
          <m:r>
            <w:rPr>
              <w:rFonts w:ascii="Cambria Math" w:eastAsia="Times New Roman" w:hAnsi="Cambria Math" w:cs="Times New Roman"/>
              <w:sz w:val="24"/>
              <w:szCs w:val="24"/>
            </w:rPr>
            <m:t>ψ</m:t>
          </m:r>
          <m:r>
            <w:rPr>
              <w:rFonts w:ascii="Cambria Math" w:eastAsia="Times New Roman" w:hAnsi="Cambria Math" w:cs="Times New Roman"/>
              <w:i/>
              <w:sz w:val="24"/>
              <w:szCs w:val="24"/>
            </w:rPr>
            <w:br/>
          </m:r>
        </m:oMath>
      </m:oMathPara>
    </w:p>
    <w:p w14:paraId="68D54879"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Upgrade:</w:t>
      </w:r>
    </w:p>
    <w:p w14:paraId="594A3EC5" w14:textId="77777777" w:rsidR="00526E6F" w:rsidRPr="00526E6F" w:rsidRDefault="00526E6F" w:rsidP="00526E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Treat reactor as </w:t>
      </w:r>
      <w:r w:rsidRPr="00526E6F">
        <w:rPr>
          <w:rFonts w:ascii="Times New Roman" w:eastAsia="Times New Roman" w:hAnsi="Times New Roman" w:cs="Times New Roman"/>
          <w:b/>
          <w:bCs/>
          <w:sz w:val="24"/>
          <w:szCs w:val="24"/>
        </w:rPr>
        <w:t>multi-well coherent system</w:t>
      </w:r>
      <w:r w:rsidRPr="00526E6F">
        <w:rPr>
          <w:rFonts w:ascii="Times New Roman" w:eastAsia="Times New Roman" w:hAnsi="Times New Roman" w:cs="Times New Roman"/>
          <w:sz w:val="24"/>
          <w:szCs w:val="24"/>
        </w:rPr>
        <w:t xml:space="preserve"> </w:t>
      </w:r>
    </w:p>
    <w:p w14:paraId="1056EC3A" w14:textId="77777777" w:rsidR="00526E6F" w:rsidRPr="00526E6F" w:rsidRDefault="00526E6F" w:rsidP="00526E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Define coherence metric: </w:t>
      </w:r>
    </w:p>
    <w:p w14:paraId="71B12CAF"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w:br/>
          </m:r>
        </m:oMath>
      </m:oMathPara>
    </w:p>
    <w:p w14:paraId="1A72EBD5" w14:textId="77777777" w:rsid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p>
    <w:p w14:paraId="350C1795" w14:textId="50C115EC"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lastRenderedPageBreak/>
        <w:t>Where:</w:t>
      </w:r>
    </w:p>
    <w:p w14:paraId="2BF17916" w14:textId="77777777" w:rsidR="00526E6F" w:rsidRPr="00526E6F" w:rsidRDefault="00526E6F" w:rsidP="00526E6F">
      <w:pPr>
        <w:numPr>
          <w:ilvl w:val="0"/>
          <w:numId w:val="13"/>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→1</m:t>
        </m:r>
      </m:oMath>
      <w:r w:rsidRPr="00526E6F">
        <w:rPr>
          <w:rFonts w:ascii="Times New Roman" w:eastAsia="Times New Roman" w:hAnsi="Times New Roman" w:cs="Times New Roman"/>
          <w:sz w:val="24"/>
          <w:szCs w:val="24"/>
        </w:rPr>
        <w:t xml:space="preserve">= stable coherent field </w:t>
      </w:r>
    </w:p>
    <w:p w14:paraId="69BEFF2E" w14:textId="77777777" w:rsidR="00526E6F" w:rsidRPr="00526E6F" w:rsidRDefault="00526E6F" w:rsidP="00526E6F">
      <w:pPr>
        <w:numPr>
          <w:ilvl w:val="0"/>
          <w:numId w:val="13"/>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→0</m:t>
        </m:r>
      </m:oMath>
      <w:r w:rsidRPr="00526E6F">
        <w:rPr>
          <w:rFonts w:ascii="Times New Roman" w:eastAsia="Times New Roman" w:hAnsi="Times New Roman" w:cs="Times New Roman"/>
          <w:sz w:val="24"/>
          <w:szCs w:val="24"/>
        </w:rPr>
        <w:t xml:space="preserve">= decoherence / instability </w:t>
      </w:r>
    </w:p>
    <w:p w14:paraId="2E1C3D75"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Dirac Stability Constraint</w:t>
      </w:r>
    </w:p>
    <w:p w14:paraId="0C6E8EF1"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(i</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γ</m:t>
              </m:r>
            </m:e>
            <m:sup>
              <m:r>
                <w:rPr>
                  <w:rFonts w:ascii="Cambria Math" w:eastAsia="Times New Roman" w:hAnsi="Cambria Math" w:cs="Times New Roman"/>
                  <w:sz w:val="24"/>
                  <w:szCs w:val="24"/>
                </w:rPr>
                <m:t>μ</m:t>
              </m:r>
            </m:sup>
          </m:sSup>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μ</m:t>
              </m:r>
            </m:sub>
          </m:sSub>
          <m:r>
            <w:rPr>
              <w:rFonts w:ascii="Cambria Math" w:eastAsia="Times New Roman" w:hAnsi="Cambria Math" w:cs="Times New Roman"/>
              <w:sz w:val="24"/>
              <w:szCs w:val="24"/>
            </w:rPr>
            <m:t>-m)ψ=0</m:t>
          </m:r>
          <m:r>
            <w:rPr>
              <w:rFonts w:ascii="Cambria Math" w:eastAsia="Times New Roman" w:hAnsi="Cambria Math" w:cs="Times New Roman"/>
              <w:i/>
              <w:sz w:val="24"/>
              <w:szCs w:val="24"/>
            </w:rPr>
            <w:br/>
          </m:r>
        </m:oMath>
      </m:oMathPara>
    </w:p>
    <w:p w14:paraId="086E7A70"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Upgrade Insight:</w:t>
      </w:r>
    </w:p>
    <w:p w14:paraId="115BC7B9" w14:textId="77777777" w:rsidR="00526E6F" w:rsidRPr="00526E6F" w:rsidRDefault="00526E6F" w:rsidP="00526E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Prevents unrealistic compression regimes </w:t>
      </w:r>
    </w:p>
    <w:p w14:paraId="0909BE0E" w14:textId="3892798B" w:rsidR="00526E6F" w:rsidRPr="00526E6F" w:rsidRDefault="00526E6F" w:rsidP="00526E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Introducing</w:t>
      </w:r>
      <w:r w:rsidRPr="00526E6F">
        <w:rPr>
          <w:rFonts w:ascii="Times New Roman" w:eastAsia="Times New Roman" w:hAnsi="Times New Roman" w:cs="Times New Roman"/>
          <w:sz w:val="24"/>
          <w:szCs w:val="24"/>
        </w:rPr>
        <w:t xml:space="preserve"> </w:t>
      </w:r>
      <w:r w:rsidRPr="00526E6F">
        <w:rPr>
          <w:rFonts w:ascii="Times New Roman" w:eastAsia="Times New Roman" w:hAnsi="Times New Roman" w:cs="Times New Roman"/>
          <w:b/>
          <w:bCs/>
          <w:sz w:val="24"/>
          <w:szCs w:val="24"/>
        </w:rPr>
        <w:t>pair production thresholds</w:t>
      </w:r>
      <w:r w:rsidRPr="00526E6F">
        <w:rPr>
          <w:rFonts w:ascii="Times New Roman" w:eastAsia="Times New Roman" w:hAnsi="Times New Roman" w:cs="Times New Roman"/>
          <w:sz w:val="24"/>
          <w:szCs w:val="24"/>
        </w:rPr>
        <w:t xml:space="preserve"> </w:t>
      </w:r>
    </w:p>
    <w:p w14:paraId="55CCDB41"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Physical Meaning:</w:t>
      </w:r>
      <w:r w:rsidRPr="00526E6F">
        <w:rPr>
          <w:rFonts w:ascii="Times New Roman" w:eastAsia="Times New Roman" w:hAnsi="Times New Roman" w:cs="Times New Roman"/>
          <w:sz w:val="24"/>
          <w:szCs w:val="24"/>
        </w:rPr>
        <w:br/>
        <w:t>Any CST reactor model must respect:</w:t>
      </w:r>
    </w:p>
    <w:p w14:paraId="2F0420FC" w14:textId="77777777" w:rsidR="00526E6F" w:rsidRPr="00526E6F" w:rsidRDefault="00526E6F" w:rsidP="00526E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Relativistic fermion limits </w:t>
      </w:r>
    </w:p>
    <w:p w14:paraId="4C722B41" w14:textId="77777777" w:rsidR="00526E6F" w:rsidRPr="00526E6F" w:rsidRDefault="00526E6F" w:rsidP="00526E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Energy thresholds for vacuum instability </w:t>
      </w:r>
    </w:p>
    <w:p w14:paraId="3025BD11"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Plasma and Energy Transport Realism Layer</w:t>
      </w:r>
    </w:p>
    <w:p w14:paraId="32D2F577"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Vlasov–Maxwell System</w:t>
      </w:r>
    </w:p>
    <w:p w14:paraId="621FAA39"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f</m:t>
              </m:r>
            </m:num>
            <m:den>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den>
          </m:f>
          <m:r>
            <w:rPr>
              <w:rFonts w:ascii="Cambria Math" w:eastAsia="Times New Roman" w:hAnsi="Cambria Math" w:cs="Times New Roman"/>
              <w:sz w:val="24"/>
              <w:szCs w:val="24"/>
            </w:rPr>
            <m:t>+v⋅</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f+</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q</m:t>
              </m:r>
            </m:num>
            <m:den>
              <m:r>
                <w:rPr>
                  <w:rFonts w:ascii="Cambria Math" w:eastAsia="Times New Roman" w:hAnsi="Cambria Math" w:cs="Times New Roman"/>
                  <w:sz w:val="24"/>
                  <w:szCs w:val="24"/>
                </w:rPr>
                <m:t>m</m:t>
              </m:r>
            </m:den>
          </m:f>
          <m:r>
            <w:rPr>
              <w:rFonts w:ascii="Cambria Math" w:eastAsia="Times New Roman" w:hAnsi="Cambria Math" w:cs="Times New Roman"/>
              <w:sz w:val="24"/>
              <w:szCs w:val="24"/>
            </w:rPr>
            <m:t>(E+v×B)⋅</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f=0</m:t>
          </m:r>
          <m:r>
            <w:rPr>
              <w:rFonts w:ascii="Cambria Math" w:eastAsia="Times New Roman" w:hAnsi="Cambria Math" w:cs="Times New Roman"/>
              <w:i/>
              <w:sz w:val="24"/>
              <w:szCs w:val="24"/>
            </w:rPr>
            <w:br/>
          </m:r>
        </m:oMath>
      </m:oMathPara>
    </w:p>
    <w:p w14:paraId="73D23E4C"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Coupled with Maxwell:</w:t>
      </w:r>
    </w:p>
    <w:p w14:paraId="63ACD188"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⋅E=</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ρ</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ϵ</m:t>
                  </m:r>
                </m:e>
                <m:sub>
                  <m:r>
                    <w:rPr>
                      <w:rFonts w:ascii="Cambria Math" w:eastAsia="Times New Roman" w:hAnsi="Cambria Math" w:cs="Times New Roman"/>
                      <w:sz w:val="24"/>
                      <w:szCs w:val="24"/>
                    </w:rPr>
                    <m:t>0</m:t>
                  </m:r>
                </m:sub>
              </m:sSub>
            </m:den>
          </m:f>
          <m:r>
            <w:rPr>
              <w:rFonts w:ascii="Cambria Math" w:eastAsia="Times New Roman" w:hAnsi="Cambria Math" w:cs="Times New Roman"/>
              <w:sz w:val="24"/>
              <w:szCs w:val="24"/>
            </w:rPr>
            <w:br/>
          </m:r>
        </m:oMath>
      </m:oMathPara>
    </w:p>
    <w:p w14:paraId="77EF4C35"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Upgrade:</w:t>
      </w:r>
      <w:r w:rsidRPr="00526E6F">
        <w:rPr>
          <w:rFonts w:ascii="Times New Roman" w:eastAsia="Times New Roman" w:hAnsi="Times New Roman" w:cs="Times New Roman"/>
          <w:sz w:val="24"/>
          <w:szCs w:val="24"/>
        </w:rPr>
        <w:br/>
        <w:t>Your reactor must be treated as:</w:t>
      </w:r>
    </w:p>
    <w:p w14:paraId="324B8C7C" w14:textId="77777777" w:rsidR="00526E6F" w:rsidRPr="00526E6F" w:rsidRDefault="00526E6F" w:rsidP="00526E6F">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526E6F">
        <w:rPr>
          <w:rFonts w:ascii="Times New Roman" w:eastAsia="Times New Roman" w:hAnsi="Times New Roman" w:cs="Times New Roman"/>
          <w:sz w:val="24"/>
          <w:szCs w:val="24"/>
        </w:rPr>
        <w:t>Collisionless</w:t>
      </w:r>
      <w:proofErr w:type="spellEnd"/>
      <w:r w:rsidRPr="00526E6F">
        <w:rPr>
          <w:rFonts w:ascii="Times New Roman" w:eastAsia="Times New Roman" w:hAnsi="Times New Roman" w:cs="Times New Roman"/>
          <w:sz w:val="24"/>
          <w:szCs w:val="24"/>
        </w:rPr>
        <w:t xml:space="preserve"> plasma </w:t>
      </w:r>
    </w:p>
    <w:p w14:paraId="17593502" w14:textId="77777777" w:rsidR="00526E6F" w:rsidRPr="00526E6F" w:rsidRDefault="00526E6F" w:rsidP="00526E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Self-consistent EM field system </w:t>
      </w:r>
    </w:p>
    <w:p w14:paraId="54535DE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Reality Constraint:</w:t>
      </w:r>
    </w:p>
    <w:p w14:paraId="1D462808" w14:textId="77777777" w:rsidR="00526E6F" w:rsidRPr="00526E6F" w:rsidRDefault="00526E6F" w:rsidP="00526E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Plasma instabilities dominate behavior </w:t>
      </w:r>
    </w:p>
    <w:p w14:paraId="277A8ED4" w14:textId="77777777" w:rsidR="00526E6F" w:rsidRPr="00526E6F" w:rsidRDefault="00526E6F" w:rsidP="00526E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Not curvature equations alone </w:t>
      </w:r>
    </w:p>
    <w:p w14:paraId="02AAAC7B"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lastRenderedPageBreak/>
        <w:t>Thermodynamic and Noise Layer</w:t>
      </w:r>
    </w:p>
    <w:p w14:paraId="68A79B4F"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Fokker–Planck Stability Envelope</w:t>
      </w:r>
    </w:p>
    <w:p w14:paraId="00FE217D"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P</m:t>
              </m:r>
            </m:num>
            <m:den>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den>
          </m:f>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(AP)+</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(DP)</m:t>
          </m:r>
          <m:r>
            <w:rPr>
              <w:rFonts w:ascii="Cambria Math" w:eastAsia="Times New Roman" w:hAnsi="Cambria Math" w:cs="Times New Roman"/>
              <w:i/>
              <w:sz w:val="24"/>
              <w:szCs w:val="24"/>
            </w:rPr>
            <w:br/>
          </m:r>
        </m:oMath>
      </m:oMathPara>
    </w:p>
    <w:p w14:paraId="30575F39"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Upgrade Role:</w:t>
      </w:r>
    </w:p>
    <w:p w14:paraId="22ECEAFF" w14:textId="77777777" w:rsidR="00526E6F" w:rsidRPr="00526E6F" w:rsidRDefault="00526E6F" w:rsidP="00526E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Defines probability of system drifting out of stability </w:t>
      </w:r>
    </w:p>
    <w:p w14:paraId="75FFFD15" w14:textId="77777777" w:rsidR="00526E6F" w:rsidRPr="00526E6F" w:rsidRDefault="00526E6F" w:rsidP="00526E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Converts CST from deterministic → probabilistic system </w:t>
      </w:r>
    </w:p>
    <w:p w14:paraId="390608FE"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Entropy Constraint</w:t>
      </w:r>
    </w:p>
    <w:p w14:paraId="3793C5FA" w14:textId="402602B5"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Introduction</w:t>
      </w:r>
      <w:r w:rsidRPr="00526E6F">
        <w:rPr>
          <w:rFonts w:ascii="Times New Roman" w:eastAsia="Times New Roman" w:hAnsi="Times New Roman" w:cs="Times New Roman"/>
          <w:sz w:val="24"/>
          <w:szCs w:val="24"/>
        </w:rPr>
        <w:t>:</w:t>
      </w:r>
    </w:p>
    <w:p w14:paraId="3B1EC929"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ln</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w:br/>
          </m:r>
        </m:oMath>
      </m:oMathPara>
    </w:p>
    <w:p w14:paraId="2717EC5C"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Insight:</w:t>
      </w:r>
    </w:p>
    <w:p w14:paraId="5BD33D51" w14:textId="77777777" w:rsidR="00526E6F" w:rsidRPr="00526E6F" w:rsidRDefault="00526E6F" w:rsidP="00526E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Warp coherence must fight entropy growth </w:t>
      </w:r>
    </w:p>
    <w:p w14:paraId="51E43998" w14:textId="77777777" w:rsidR="00526E6F" w:rsidRPr="00526E6F" w:rsidRDefault="00526E6F" w:rsidP="00526E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Reactor = </w:t>
      </w:r>
      <w:r w:rsidRPr="00526E6F">
        <w:rPr>
          <w:rFonts w:ascii="Times New Roman" w:eastAsia="Times New Roman" w:hAnsi="Times New Roman" w:cs="Times New Roman"/>
          <w:b/>
          <w:bCs/>
          <w:sz w:val="24"/>
          <w:szCs w:val="24"/>
        </w:rPr>
        <w:t>low-entropy maintained system</w:t>
      </w:r>
      <w:r w:rsidRPr="00526E6F">
        <w:rPr>
          <w:rFonts w:ascii="Times New Roman" w:eastAsia="Times New Roman" w:hAnsi="Times New Roman" w:cs="Times New Roman"/>
          <w:sz w:val="24"/>
          <w:szCs w:val="24"/>
        </w:rPr>
        <w:t xml:space="preserve"> </w:t>
      </w:r>
    </w:p>
    <w:p w14:paraId="15E9840F"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Geodesic Navigation Layer</w:t>
      </w:r>
    </w:p>
    <w:p w14:paraId="3A7BEF3E"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Geodesic Equation</w:t>
      </w:r>
    </w:p>
    <w:p w14:paraId="3F95F56A"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d</m:t>
                  </m:r>
                </m:e>
                <m:sup>
                  <m:r>
                    <w:rPr>
                      <w:rFonts w:ascii="Cambria Math" w:eastAsia="Times New Roman" w:hAnsi="Cambria Math" w:cs="Times New Roman"/>
                      <w:sz w:val="24"/>
                      <w:szCs w:val="24"/>
                    </w:rPr>
                    <m:t>2</m:t>
                  </m:r>
                </m:sup>
              </m:sSup>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num>
            <m:den>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τ</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Γ</m:t>
              </m:r>
            </m:e>
            <m:sub>
              <m:r>
                <w:rPr>
                  <w:rFonts w:ascii="Cambria Math" w:eastAsia="Times New Roman" w:hAnsi="Cambria Math" w:cs="Times New Roman"/>
                  <w:sz w:val="24"/>
                  <w:szCs w:val="24"/>
                </w:rPr>
                <m:t>αβ</m:t>
              </m:r>
            </m:sub>
            <m:sup>
              <m:r>
                <w:rPr>
                  <w:rFonts w:ascii="Cambria Math" w:eastAsia="Times New Roman" w:hAnsi="Cambria Math" w:cs="Times New Roman"/>
                  <w:sz w:val="24"/>
                  <w:szCs w:val="24"/>
                </w:rPr>
                <m:t>μ</m:t>
              </m:r>
            </m:sup>
          </m:sSubSup>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α</m:t>
                  </m:r>
                </m:sup>
              </m:sSup>
            </m:num>
            <m:den>
              <m:r>
                <w:rPr>
                  <w:rFonts w:ascii="Cambria Math" w:eastAsia="Times New Roman" w:hAnsi="Cambria Math" w:cs="Times New Roman"/>
                  <w:sz w:val="24"/>
                  <w:szCs w:val="24"/>
                </w:rPr>
                <m:t>dτ</m:t>
              </m:r>
            </m:den>
          </m:f>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β</m:t>
                  </m:r>
                </m:sup>
              </m:sSup>
            </m:num>
            <m:den>
              <m:r>
                <w:rPr>
                  <w:rFonts w:ascii="Cambria Math" w:eastAsia="Times New Roman" w:hAnsi="Cambria Math" w:cs="Times New Roman"/>
                  <w:sz w:val="24"/>
                  <w:szCs w:val="24"/>
                </w:rPr>
                <m:t>dτ</m:t>
              </m:r>
            </m:den>
          </m:f>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Para>
    </w:p>
    <w:p w14:paraId="76F4BFD1"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Upgrade:</w:t>
      </w:r>
      <w:r w:rsidRPr="00526E6F">
        <w:rPr>
          <w:rFonts w:ascii="Times New Roman" w:eastAsia="Times New Roman" w:hAnsi="Times New Roman" w:cs="Times New Roman"/>
          <w:sz w:val="24"/>
          <w:szCs w:val="24"/>
        </w:rPr>
        <w:br/>
        <w:t>Navigation becomes:</w:t>
      </w:r>
    </w:p>
    <w:p w14:paraId="266FACBD" w14:textId="77777777" w:rsidR="00526E6F" w:rsidRPr="00526E6F" w:rsidRDefault="00526E6F" w:rsidP="00526E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Not propulsion </w:t>
      </w:r>
    </w:p>
    <w:p w14:paraId="25429339" w14:textId="77777777" w:rsidR="00526E6F" w:rsidRPr="00526E6F" w:rsidRDefault="00526E6F" w:rsidP="00526E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But </w:t>
      </w:r>
      <w:r w:rsidRPr="00526E6F">
        <w:rPr>
          <w:rFonts w:ascii="Times New Roman" w:eastAsia="Times New Roman" w:hAnsi="Times New Roman" w:cs="Times New Roman"/>
          <w:b/>
          <w:bCs/>
          <w:sz w:val="24"/>
          <w:szCs w:val="24"/>
        </w:rPr>
        <w:t>geodesic selection</w:t>
      </w:r>
      <w:r w:rsidRPr="00526E6F">
        <w:rPr>
          <w:rFonts w:ascii="Times New Roman" w:eastAsia="Times New Roman" w:hAnsi="Times New Roman" w:cs="Times New Roman"/>
          <w:sz w:val="24"/>
          <w:szCs w:val="24"/>
        </w:rPr>
        <w:t xml:space="preserve"> </w:t>
      </w:r>
    </w:p>
    <w:p w14:paraId="2EF3E06D"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Raychaudhuri Stability Condition</w:t>
      </w:r>
    </w:p>
    <w:p w14:paraId="5CF58C83"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dθ</m:t>
              </m:r>
            </m:num>
            <m:den>
              <m:r>
                <w:rPr>
                  <w:rFonts w:ascii="Cambria Math" w:eastAsia="Times New Roman" w:hAnsi="Cambria Math" w:cs="Times New Roman"/>
                  <w:sz w:val="24"/>
                  <w:szCs w:val="24"/>
                </w:rPr>
                <m:t>dτ</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ω</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μν</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μ</m:t>
              </m:r>
            </m:sup>
          </m:sSup>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ν</m:t>
              </m:r>
            </m:sup>
          </m:sSup>
          <m:r>
            <w:rPr>
              <w:rFonts w:ascii="Cambria Math" w:eastAsia="Times New Roman" w:hAnsi="Cambria Math" w:cs="Times New Roman"/>
              <w:sz w:val="24"/>
              <w:szCs w:val="24"/>
            </w:rPr>
            <w:br/>
          </m:r>
        </m:oMath>
      </m:oMathPara>
    </w:p>
    <w:p w14:paraId="531C7267"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lastRenderedPageBreak/>
        <w:t>Meaning:</w:t>
      </w:r>
    </w:p>
    <w:p w14:paraId="055DBA14" w14:textId="77777777" w:rsidR="00526E6F" w:rsidRPr="00526E6F" w:rsidRDefault="00526E6F" w:rsidP="00526E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Detects collapse or instability in spacetime paths </w:t>
      </w:r>
    </w:p>
    <w:p w14:paraId="77B850E0" w14:textId="77777777" w:rsidR="00526E6F" w:rsidRPr="00526E6F" w:rsidRDefault="00526E6F" w:rsidP="00526E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Defines </w:t>
      </w:r>
      <w:r w:rsidRPr="00526E6F">
        <w:rPr>
          <w:rFonts w:ascii="Times New Roman" w:eastAsia="Times New Roman" w:hAnsi="Times New Roman" w:cs="Times New Roman"/>
          <w:b/>
          <w:bCs/>
          <w:sz w:val="24"/>
          <w:szCs w:val="24"/>
        </w:rPr>
        <w:t>safe corridor conditions</w:t>
      </w:r>
      <w:r w:rsidRPr="00526E6F">
        <w:rPr>
          <w:rFonts w:ascii="Times New Roman" w:eastAsia="Times New Roman" w:hAnsi="Times New Roman" w:cs="Times New Roman"/>
          <w:sz w:val="24"/>
          <w:szCs w:val="24"/>
        </w:rPr>
        <w:t xml:space="preserve"> </w:t>
      </w:r>
    </w:p>
    <w:p w14:paraId="2893CE58"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CST Harmonic System (Refined)</w:t>
      </w:r>
    </w:p>
    <w:p w14:paraId="495FC43C"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Original:</w:t>
      </w:r>
    </w:p>
    <w:p w14:paraId="79F80976"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8π</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3B8FE1A3"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Upgrade (Dimensional Consistency Check)</w:t>
      </w:r>
    </w:p>
    <w:p w14:paraId="19D0081A"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Introduce normalized form:</w:t>
      </w:r>
    </w:p>
    <w:p w14:paraId="5CD397C6"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eff</m:t>
              </m:r>
            </m:sub>
          </m:sSub>
          <m:r>
            <w:rPr>
              <w:rFonts w:ascii="Cambria Math" w:eastAsia="Times New Roman" w:hAnsi="Cambria Math" w:cs="Times New Roman"/>
              <w:sz w:val="24"/>
              <w:szCs w:val="24"/>
            </w:rPr>
            <m:t>=α</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2</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3C7267F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Where:</w:t>
      </w:r>
    </w:p>
    <w:p w14:paraId="0C0B2AD4" w14:textId="77777777" w:rsidR="00526E6F" w:rsidRPr="00526E6F" w:rsidRDefault="00526E6F" w:rsidP="00526E6F">
      <w:pPr>
        <w:numPr>
          <w:ilvl w:val="0"/>
          <w:numId w:val="22"/>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α</m:t>
        </m:r>
      </m:oMath>
      <w:r w:rsidRPr="00526E6F">
        <w:rPr>
          <w:rFonts w:ascii="Times New Roman" w:eastAsia="Times New Roman" w:hAnsi="Times New Roman" w:cs="Times New Roman"/>
          <w:sz w:val="24"/>
          <w:szCs w:val="24"/>
        </w:rPr>
        <w:t xml:space="preserve">= calibration constant derived from system geometry </w:t>
      </w:r>
    </w:p>
    <w:p w14:paraId="2376AE0E"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Reason:</w:t>
      </w:r>
    </w:p>
    <w:p w14:paraId="1B001AEA" w14:textId="77777777" w:rsidR="00526E6F" w:rsidRPr="00526E6F" w:rsidRDefault="00526E6F" w:rsidP="00526E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Original form risks dimensional inconsistency </w:t>
      </w:r>
    </w:p>
    <w:p w14:paraId="6E1555F3" w14:textId="77777777" w:rsidR="00526E6F" w:rsidRPr="00526E6F" w:rsidRDefault="00526E6F" w:rsidP="00526E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This makes it </w:t>
      </w:r>
      <w:proofErr w:type="gramStart"/>
      <w:r w:rsidRPr="00526E6F">
        <w:rPr>
          <w:rFonts w:ascii="Times New Roman" w:eastAsia="Times New Roman" w:hAnsi="Times New Roman" w:cs="Times New Roman"/>
          <w:sz w:val="24"/>
          <w:szCs w:val="24"/>
        </w:rPr>
        <w:t>tunable</w:t>
      </w:r>
      <w:proofErr w:type="gramEnd"/>
      <w:r w:rsidRPr="00526E6F">
        <w:rPr>
          <w:rFonts w:ascii="Times New Roman" w:eastAsia="Times New Roman" w:hAnsi="Times New Roman" w:cs="Times New Roman"/>
          <w:sz w:val="24"/>
          <w:szCs w:val="24"/>
        </w:rPr>
        <w:t xml:space="preserve"> and testable </w:t>
      </w:r>
    </w:p>
    <w:p w14:paraId="6BBF9A76"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Control System Architecture (New Section)</w:t>
      </w:r>
    </w:p>
    <w:p w14:paraId="309580ED"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Closed Loop CST Engine Model</w:t>
      </w:r>
    </w:p>
    <w:p w14:paraId="727FD8D7"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u(t)=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Tdt+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d</m:t>
              </m:r>
            </m:sub>
          </m:sSub>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w:br/>
          </m:r>
        </m:oMath>
      </m:oMathPara>
    </w:p>
    <w:p w14:paraId="2DAE9AA8"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This defines:</w:t>
      </w:r>
    </w:p>
    <w:p w14:paraId="1E6FDDE6" w14:textId="77777777" w:rsidR="00526E6F" w:rsidRPr="00526E6F" w:rsidRDefault="00526E6F" w:rsidP="00526E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Field control </w:t>
      </w:r>
    </w:p>
    <w:p w14:paraId="44A0833E" w14:textId="77777777" w:rsidR="00526E6F" w:rsidRPr="00526E6F" w:rsidRDefault="00526E6F" w:rsidP="00526E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Reactor tuning </w:t>
      </w:r>
    </w:p>
    <w:p w14:paraId="5CD7AE53" w14:textId="77777777" w:rsidR="00526E6F" w:rsidRPr="00526E6F" w:rsidRDefault="00526E6F" w:rsidP="00526E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Navigation corrections </w:t>
      </w:r>
    </w:p>
    <w:p w14:paraId="594786F5" w14:textId="3CAAFDDC" w:rsidR="00526E6F" w:rsidRPr="00526E6F" w:rsidRDefault="00526E6F" w:rsidP="00526E6F">
      <w:pPr>
        <w:spacing w:after="0" w:line="240" w:lineRule="auto"/>
        <w:rPr>
          <w:rFonts w:ascii="Times New Roman" w:eastAsia="Times New Roman" w:hAnsi="Times New Roman" w:cs="Times New Roman"/>
          <w:sz w:val="24"/>
          <w:szCs w:val="24"/>
        </w:rPr>
      </w:pPr>
    </w:p>
    <w:p w14:paraId="281158EB"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lastRenderedPageBreak/>
        <w:t>System Coupling</w:t>
      </w:r>
    </w:p>
    <w:p w14:paraId="3C8D0923"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Define state vector:</w:t>
      </w:r>
    </w:p>
    <w:p w14:paraId="09A44E6C"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X=[ψ,ϕ,T,E,f]</m:t>
          </m:r>
          <m:r>
            <w:rPr>
              <w:rFonts w:ascii="Cambria Math" w:eastAsia="Times New Roman" w:hAnsi="Cambria Math" w:cs="Times New Roman"/>
              <w:i/>
              <w:sz w:val="24"/>
              <w:szCs w:val="24"/>
            </w:rPr>
            <w:br/>
          </m:r>
        </m:oMath>
      </m:oMathPara>
    </w:p>
    <w:p w14:paraId="7F613C61"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Where:</w:t>
      </w:r>
    </w:p>
    <w:p w14:paraId="50564974" w14:textId="77777777" w:rsidR="00526E6F" w:rsidRPr="00526E6F" w:rsidRDefault="00526E6F" w:rsidP="00526E6F">
      <w:pPr>
        <w:numPr>
          <w:ilvl w:val="0"/>
          <w:numId w:val="25"/>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ψ</m:t>
        </m:r>
      </m:oMath>
      <w:r w:rsidRPr="00526E6F">
        <w:rPr>
          <w:rFonts w:ascii="Times New Roman" w:eastAsia="Times New Roman" w:hAnsi="Times New Roman" w:cs="Times New Roman"/>
          <w:sz w:val="24"/>
          <w:szCs w:val="24"/>
        </w:rPr>
        <w:t xml:space="preserve">= quantum state </w:t>
      </w:r>
    </w:p>
    <w:p w14:paraId="194CB67E" w14:textId="77777777" w:rsidR="00526E6F" w:rsidRPr="00526E6F" w:rsidRDefault="00526E6F" w:rsidP="00526E6F">
      <w:pPr>
        <w:numPr>
          <w:ilvl w:val="0"/>
          <w:numId w:val="25"/>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ϕ</m:t>
        </m:r>
      </m:oMath>
      <w:r w:rsidRPr="00526E6F">
        <w:rPr>
          <w:rFonts w:ascii="Times New Roman" w:eastAsia="Times New Roman" w:hAnsi="Times New Roman" w:cs="Times New Roman"/>
          <w:sz w:val="24"/>
          <w:szCs w:val="24"/>
        </w:rPr>
        <w:t xml:space="preserve">= scalar field </w:t>
      </w:r>
    </w:p>
    <w:p w14:paraId="2F01C0F6" w14:textId="77777777" w:rsidR="00526E6F" w:rsidRPr="00526E6F" w:rsidRDefault="00526E6F" w:rsidP="00526E6F">
      <w:pPr>
        <w:numPr>
          <w:ilvl w:val="0"/>
          <w:numId w:val="25"/>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T</m:t>
        </m:r>
      </m:oMath>
      <w:r w:rsidRPr="00526E6F">
        <w:rPr>
          <w:rFonts w:ascii="Times New Roman" w:eastAsia="Times New Roman" w:hAnsi="Times New Roman" w:cs="Times New Roman"/>
          <w:sz w:val="24"/>
          <w:szCs w:val="24"/>
        </w:rPr>
        <w:t xml:space="preserve">= timing </w:t>
      </w:r>
    </w:p>
    <w:p w14:paraId="71547841" w14:textId="77777777" w:rsidR="00526E6F" w:rsidRPr="00526E6F" w:rsidRDefault="00526E6F" w:rsidP="00526E6F">
      <w:pPr>
        <w:numPr>
          <w:ilvl w:val="0"/>
          <w:numId w:val="25"/>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E</m:t>
        </m:r>
      </m:oMath>
      <w:r w:rsidRPr="00526E6F">
        <w:rPr>
          <w:rFonts w:ascii="Times New Roman" w:eastAsia="Times New Roman" w:hAnsi="Times New Roman" w:cs="Times New Roman"/>
          <w:sz w:val="24"/>
          <w:szCs w:val="24"/>
        </w:rPr>
        <w:t xml:space="preserve">= energy density </w:t>
      </w:r>
    </w:p>
    <w:p w14:paraId="50963C1D" w14:textId="77777777" w:rsidR="00526E6F" w:rsidRPr="00526E6F" w:rsidRDefault="00526E6F" w:rsidP="00526E6F">
      <w:pPr>
        <w:numPr>
          <w:ilvl w:val="0"/>
          <w:numId w:val="25"/>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f</m:t>
        </m:r>
      </m:oMath>
      <w:r w:rsidRPr="00526E6F">
        <w:rPr>
          <w:rFonts w:ascii="Times New Roman" w:eastAsia="Times New Roman" w:hAnsi="Times New Roman" w:cs="Times New Roman"/>
          <w:sz w:val="24"/>
          <w:szCs w:val="24"/>
        </w:rPr>
        <w:t xml:space="preserve">= plasma distribution </w:t>
      </w:r>
    </w:p>
    <w:p w14:paraId="74D05A79"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Reality Check Section (Critical for Academia)</w:t>
      </w:r>
    </w:p>
    <w:p w14:paraId="782BBB21"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Energy Requirement Problem</w:t>
      </w:r>
    </w:p>
    <w:p w14:paraId="40B6E5D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Warp metrics require:</w:t>
      </w:r>
    </w:p>
    <w:p w14:paraId="439C1E88" w14:textId="77777777" w:rsidR="00526E6F" w:rsidRPr="00526E6F" w:rsidRDefault="00526E6F" w:rsidP="00526E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Energy comparable to stellar mass (classical models) </w:t>
      </w:r>
    </w:p>
    <w:p w14:paraId="574C0E70" w14:textId="77777777" w:rsidR="00526E6F" w:rsidRPr="00526E6F" w:rsidRDefault="00526E6F" w:rsidP="00526E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Violations of: </w:t>
      </w:r>
    </w:p>
    <w:p w14:paraId="1BD2C006" w14:textId="77777777" w:rsidR="00526E6F" w:rsidRPr="00526E6F" w:rsidRDefault="00526E6F" w:rsidP="00526E6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Weak Energy Condition </w:t>
      </w:r>
    </w:p>
    <w:p w14:paraId="7F1D57C7" w14:textId="77777777" w:rsidR="00526E6F" w:rsidRPr="00526E6F" w:rsidRDefault="00526E6F" w:rsidP="00526E6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Null Energy Condition </w:t>
      </w:r>
    </w:p>
    <w:p w14:paraId="23BD76F0"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References:</w:t>
      </w:r>
    </w:p>
    <w:p w14:paraId="3688A297" w14:textId="77777777" w:rsidR="00526E6F" w:rsidRPr="00526E6F" w:rsidRDefault="00526E6F" w:rsidP="00526E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Alcubierre metric </w:t>
      </w:r>
    </w:p>
    <w:p w14:paraId="32D246AF" w14:textId="77777777" w:rsidR="00526E6F" w:rsidRPr="00526E6F" w:rsidRDefault="00526E6F" w:rsidP="00526E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Miguel Alcubierre </w:t>
      </w:r>
    </w:p>
    <w:p w14:paraId="22DF1D14"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Quantum Gravity Gap</w:t>
      </w:r>
    </w:p>
    <w:p w14:paraId="646B5D28"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Current physics lacks:</w:t>
      </w:r>
    </w:p>
    <w:p w14:paraId="05E1C005" w14:textId="77777777" w:rsidR="00526E6F" w:rsidRPr="00526E6F" w:rsidRDefault="00526E6F" w:rsidP="00526E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Unified theory combining: </w:t>
      </w:r>
    </w:p>
    <w:p w14:paraId="4090364A" w14:textId="77777777" w:rsidR="00526E6F" w:rsidRPr="00526E6F" w:rsidRDefault="00526E6F" w:rsidP="00526E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General Relativity </w:t>
      </w:r>
    </w:p>
    <w:p w14:paraId="777F90BE" w14:textId="77777777" w:rsidR="00526E6F" w:rsidRPr="00526E6F" w:rsidRDefault="00526E6F" w:rsidP="00526E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Quantum Field Theory </w:t>
      </w:r>
    </w:p>
    <w:p w14:paraId="73E0BD62" w14:textId="16CFD21C" w:rsidR="00526E6F" w:rsidRDefault="00526E6F" w:rsidP="00526E6F">
      <w:pPr>
        <w:spacing w:after="0" w:line="240" w:lineRule="auto"/>
        <w:rPr>
          <w:rFonts w:ascii="Times New Roman" w:eastAsia="Times New Roman" w:hAnsi="Times New Roman" w:cs="Times New Roman"/>
          <w:sz w:val="24"/>
          <w:szCs w:val="24"/>
        </w:rPr>
      </w:pPr>
    </w:p>
    <w:p w14:paraId="7BBB5417" w14:textId="77777777" w:rsidR="00526E6F" w:rsidRDefault="00526E6F" w:rsidP="00526E6F">
      <w:pPr>
        <w:spacing w:after="0" w:line="240" w:lineRule="auto"/>
        <w:rPr>
          <w:rFonts w:ascii="Times New Roman" w:eastAsia="Times New Roman" w:hAnsi="Times New Roman" w:cs="Times New Roman"/>
          <w:sz w:val="24"/>
          <w:szCs w:val="24"/>
        </w:rPr>
      </w:pPr>
    </w:p>
    <w:p w14:paraId="7C94468F" w14:textId="77777777" w:rsidR="00526E6F" w:rsidRDefault="00526E6F" w:rsidP="00526E6F">
      <w:pPr>
        <w:spacing w:after="0" w:line="240" w:lineRule="auto"/>
        <w:rPr>
          <w:rFonts w:ascii="Times New Roman" w:eastAsia="Times New Roman" w:hAnsi="Times New Roman" w:cs="Times New Roman"/>
          <w:sz w:val="24"/>
          <w:szCs w:val="24"/>
        </w:rPr>
      </w:pPr>
    </w:p>
    <w:p w14:paraId="15AB2E5D" w14:textId="77777777" w:rsidR="00526E6F" w:rsidRDefault="00526E6F" w:rsidP="00526E6F">
      <w:pPr>
        <w:spacing w:after="0" w:line="240" w:lineRule="auto"/>
        <w:rPr>
          <w:rFonts w:ascii="Times New Roman" w:eastAsia="Times New Roman" w:hAnsi="Times New Roman" w:cs="Times New Roman"/>
          <w:sz w:val="24"/>
          <w:szCs w:val="24"/>
        </w:rPr>
      </w:pPr>
    </w:p>
    <w:p w14:paraId="1E67501C" w14:textId="77777777" w:rsidR="00526E6F" w:rsidRPr="00526E6F" w:rsidRDefault="00526E6F" w:rsidP="00526E6F">
      <w:pPr>
        <w:spacing w:after="0" w:line="240" w:lineRule="auto"/>
        <w:rPr>
          <w:rFonts w:ascii="Times New Roman" w:eastAsia="Times New Roman" w:hAnsi="Times New Roman" w:cs="Times New Roman"/>
          <w:sz w:val="24"/>
          <w:szCs w:val="24"/>
        </w:rPr>
      </w:pPr>
    </w:p>
    <w:p w14:paraId="0FCE5C41"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lastRenderedPageBreak/>
        <w:t>Engineering Feasibility</w:t>
      </w:r>
    </w:p>
    <w:p w14:paraId="7AB5E2A1" w14:textId="48D08354"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Unknown</w:t>
      </w:r>
      <w:r w:rsidRPr="00526E6F">
        <w:rPr>
          <w:rFonts w:ascii="Times New Roman" w:eastAsia="Times New Roman" w:hAnsi="Times New Roman" w:cs="Times New Roman"/>
          <w:sz w:val="24"/>
          <w:szCs w:val="24"/>
        </w:rPr>
        <w:t>:</w:t>
      </w:r>
    </w:p>
    <w:p w14:paraId="2EC44375" w14:textId="77777777" w:rsidR="00526E6F" w:rsidRPr="00526E6F" w:rsidRDefault="00526E6F" w:rsidP="00526E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Negative energy generation </w:t>
      </w:r>
    </w:p>
    <w:p w14:paraId="3A5CBAD8" w14:textId="77777777" w:rsidR="00526E6F" w:rsidRPr="00526E6F" w:rsidRDefault="00526E6F" w:rsidP="00526E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Stable exotic matter </w:t>
      </w:r>
    </w:p>
    <w:p w14:paraId="1278B40F" w14:textId="77777777" w:rsidR="00526E6F" w:rsidRPr="00526E6F" w:rsidRDefault="00526E6F" w:rsidP="00526E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Field containment at required scale </w:t>
      </w:r>
    </w:p>
    <w:p w14:paraId="1047DE61"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Testability and Falsification Path</w:t>
      </w:r>
    </w:p>
    <w:p w14:paraId="302ADAEC"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To move from concept → research:</w:t>
      </w:r>
    </w:p>
    <w:p w14:paraId="771D6599"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Test 1: Plasma Coherence Stability</w:t>
      </w:r>
    </w:p>
    <w:p w14:paraId="3DCFA4EE" w14:textId="77777777" w:rsidR="00526E6F" w:rsidRPr="00526E6F" w:rsidRDefault="00526E6F" w:rsidP="00526E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Simulate Vlasov + Maxwell + CST feedback </w:t>
      </w:r>
    </w:p>
    <w:p w14:paraId="61F70C29" w14:textId="77777777" w:rsidR="00526E6F" w:rsidRPr="00526E6F" w:rsidRDefault="00526E6F" w:rsidP="00526E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Measure coherence decay rate </w:t>
      </w:r>
    </w:p>
    <w:p w14:paraId="5D9A6898"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Test 2: Timing Synchronization Drift</w:t>
      </w:r>
    </w:p>
    <w:p w14:paraId="07AB780C" w14:textId="77777777" w:rsidR="00526E6F" w:rsidRPr="00526E6F" w:rsidRDefault="00526E6F" w:rsidP="00526E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Apply CST control to atomic clocks </w:t>
      </w:r>
    </w:p>
    <w:p w14:paraId="58291C41" w14:textId="77777777" w:rsidR="00526E6F" w:rsidRPr="00526E6F" w:rsidRDefault="00526E6F" w:rsidP="00526E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Measure ΔT reduction </w:t>
      </w:r>
    </w:p>
    <w:p w14:paraId="3C2DD6C9" w14:textId="77777777" w:rsidR="00526E6F" w:rsidRPr="00526E6F" w:rsidRDefault="00526E6F" w:rsidP="00526E6F">
      <w:pPr>
        <w:spacing w:before="100" w:beforeAutospacing="1" w:after="100" w:afterAutospacing="1" w:line="240" w:lineRule="auto"/>
        <w:outlineLvl w:val="2"/>
        <w:rPr>
          <w:rFonts w:ascii="Times New Roman" w:eastAsia="Times New Roman" w:hAnsi="Times New Roman" w:cs="Times New Roman"/>
          <w:b/>
          <w:bCs/>
          <w:sz w:val="27"/>
          <w:szCs w:val="27"/>
        </w:rPr>
      </w:pPr>
      <w:r w:rsidRPr="00526E6F">
        <w:rPr>
          <w:rFonts w:ascii="Times New Roman" w:eastAsia="Times New Roman" w:hAnsi="Times New Roman" w:cs="Times New Roman"/>
          <w:b/>
          <w:bCs/>
          <w:sz w:val="27"/>
          <w:szCs w:val="27"/>
        </w:rPr>
        <w:t>Test 3: Navigation Simulation</w:t>
      </w:r>
    </w:p>
    <w:p w14:paraId="4595A972" w14:textId="77777777" w:rsidR="00526E6F" w:rsidRPr="00526E6F" w:rsidRDefault="00526E6F" w:rsidP="00526E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Use geodesic solver </w:t>
      </w:r>
    </w:p>
    <w:p w14:paraId="19925EBF" w14:textId="46334E92" w:rsidR="00526E6F" w:rsidRPr="00526E6F" w:rsidRDefault="00526E6F" w:rsidP="00526E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Introducing</w:t>
      </w:r>
      <w:r w:rsidRPr="00526E6F">
        <w:rPr>
          <w:rFonts w:ascii="Times New Roman" w:eastAsia="Times New Roman" w:hAnsi="Times New Roman" w:cs="Times New Roman"/>
          <w:sz w:val="24"/>
          <w:szCs w:val="24"/>
        </w:rPr>
        <w:t xml:space="preserve"> CST correction </w:t>
      </w:r>
    </w:p>
    <w:p w14:paraId="1F49812F" w14:textId="77777777" w:rsidR="00526E6F" w:rsidRPr="00526E6F" w:rsidRDefault="00526E6F" w:rsidP="00526E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Compare energy cost vs classical trajectory </w:t>
      </w:r>
    </w:p>
    <w:p w14:paraId="732A8541"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t>Conclusion</w:t>
      </w:r>
    </w:p>
    <w:p w14:paraId="4147066D"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This upgraded framework transforms the CST Warp concept into:</w:t>
      </w:r>
    </w:p>
    <w:p w14:paraId="5CCE4828" w14:textId="77777777" w:rsidR="00526E6F" w:rsidRPr="00526E6F" w:rsidRDefault="00526E6F" w:rsidP="00526E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 </w:t>
      </w:r>
      <w:r w:rsidRPr="00526E6F">
        <w:rPr>
          <w:rFonts w:ascii="Times New Roman" w:eastAsia="Times New Roman" w:hAnsi="Times New Roman" w:cs="Times New Roman"/>
          <w:b/>
          <w:bCs/>
          <w:sz w:val="24"/>
          <w:szCs w:val="24"/>
        </w:rPr>
        <w:t>multi-layer physics model</w:t>
      </w:r>
      <w:r w:rsidRPr="00526E6F">
        <w:rPr>
          <w:rFonts w:ascii="Times New Roman" w:eastAsia="Times New Roman" w:hAnsi="Times New Roman" w:cs="Times New Roman"/>
          <w:sz w:val="24"/>
          <w:szCs w:val="24"/>
        </w:rPr>
        <w:t xml:space="preserve"> </w:t>
      </w:r>
    </w:p>
    <w:p w14:paraId="70B30816" w14:textId="77777777" w:rsidR="00526E6F" w:rsidRPr="00526E6F" w:rsidRDefault="00526E6F" w:rsidP="00526E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 </w:t>
      </w:r>
      <w:r w:rsidRPr="00526E6F">
        <w:rPr>
          <w:rFonts w:ascii="Times New Roman" w:eastAsia="Times New Roman" w:hAnsi="Times New Roman" w:cs="Times New Roman"/>
          <w:b/>
          <w:bCs/>
          <w:sz w:val="24"/>
          <w:szCs w:val="24"/>
        </w:rPr>
        <w:t>control system problem</w:t>
      </w:r>
      <w:r w:rsidRPr="00526E6F">
        <w:rPr>
          <w:rFonts w:ascii="Times New Roman" w:eastAsia="Times New Roman" w:hAnsi="Times New Roman" w:cs="Times New Roman"/>
          <w:sz w:val="24"/>
          <w:szCs w:val="24"/>
        </w:rPr>
        <w:t xml:space="preserve"> </w:t>
      </w:r>
    </w:p>
    <w:p w14:paraId="1F4A20DE" w14:textId="77777777" w:rsidR="00526E6F" w:rsidRPr="00526E6F" w:rsidRDefault="00526E6F" w:rsidP="00526E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 </w:t>
      </w:r>
      <w:r w:rsidRPr="00526E6F">
        <w:rPr>
          <w:rFonts w:ascii="Times New Roman" w:eastAsia="Times New Roman" w:hAnsi="Times New Roman" w:cs="Times New Roman"/>
          <w:b/>
          <w:bCs/>
          <w:sz w:val="24"/>
          <w:szCs w:val="24"/>
        </w:rPr>
        <w:t>probabilistic stability system</w:t>
      </w:r>
      <w:r w:rsidRPr="00526E6F">
        <w:rPr>
          <w:rFonts w:ascii="Times New Roman" w:eastAsia="Times New Roman" w:hAnsi="Times New Roman" w:cs="Times New Roman"/>
          <w:sz w:val="24"/>
          <w:szCs w:val="24"/>
        </w:rPr>
        <w:t xml:space="preserve"> </w:t>
      </w:r>
    </w:p>
    <w:p w14:paraId="79DB954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Key shift:</w:t>
      </w:r>
    </w:p>
    <w:p w14:paraId="77FA9A35"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From:</w:t>
      </w:r>
    </w:p>
    <w:p w14:paraId="63FAE627" w14:textId="77777777" w:rsidR="00526E6F" w:rsidRPr="00526E6F" w:rsidRDefault="00526E6F" w:rsidP="00526E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Equation mapping (conceptual) </w:t>
      </w:r>
    </w:p>
    <w:p w14:paraId="2B5C4C99"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To:</w:t>
      </w:r>
    </w:p>
    <w:p w14:paraId="0EF348AD" w14:textId="77777777" w:rsidR="00526E6F" w:rsidRPr="00526E6F" w:rsidRDefault="00526E6F" w:rsidP="00526E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Coupled system with constraints, feedback, and testability </w:t>
      </w:r>
    </w:p>
    <w:p w14:paraId="02394ADB" w14:textId="2637C614" w:rsidR="00526E6F" w:rsidRPr="00526E6F" w:rsidRDefault="00526E6F" w:rsidP="00526E6F">
      <w:pPr>
        <w:pStyle w:val="NormalWeb"/>
        <w:rPr>
          <w:rFonts w:eastAsia="Times New Roman"/>
        </w:rPr>
      </w:pPr>
      <w:r w:rsidRPr="00526E6F">
        <w:rPr>
          <w:rFonts w:eastAsia="Times New Roman"/>
          <w:b/>
          <w:bCs/>
        </w:rPr>
        <w:lastRenderedPageBreak/>
        <w:t>CST Versus Standard General Relativity</w:t>
      </w:r>
    </w:p>
    <w:p w14:paraId="6AF95B32" w14:textId="079F9124"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Standard General Relativity is built around the Einstein field equations, where spacetime curvature is determined by the stress–energy tensor and free motion </w:t>
      </w:r>
      <w:r w:rsidRPr="00526E6F">
        <w:rPr>
          <w:rFonts w:ascii="Times New Roman" w:eastAsia="Times New Roman" w:hAnsi="Times New Roman" w:cs="Times New Roman"/>
          <w:sz w:val="24"/>
          <w:szCs w:val="24"/>
        </w:rPr>
        <w:t>follow</w:t>
      </w:r>
      <w:r w:rsidRPr="00526E6F">
        <w:rPr>
          <w:rFonts w:ascii="Times New Roman" w:eastAsia="Times New Roman" w:hAnsi="Times New Roman" w:cs="Times New Roman"/>
          <w:sz w:val="24"/>
          <w:szCs w:val="24"/>
        </w:rPr>
        <w:t xml:space="preserve"> geodesics of the metric. In that baseline picture, time is not an independently controlled engineering variable; rather, proper time emerges from the spacetime geometry once the metric is specified. In contrast, the CST framework introduces synchronization variables, harmonic coherence terms, and phase-control quantities that act as an additional systems layer on top of the relativistic geometry. That difference should be stated clearly, because reviewers will want to know whether CST is being proposed as a new gravitational theory, an effective control formalism imposed on a chosen metric, or a phenomenological navigation layer built on GR kinematics. Alcubierre’s warp-drive treatment is explicitly a GR construction, and </w:t>
      </w:r>
      <w:proofErr w:type="spellStart"/>
      <w:r w:rsidRPr="00526E6F">
        <w:rPr>
          <w:rFonts w:ascii="Times New Roman" w:eastAsia="Times New Roman" w:hAnsi="Times New Roman" w:cs="Times New Roman"/>
          <w:sz w:val="24"/>
          <w:szCs w:val="24"/>
        </w:rPr>
        <w:t>Natário’s</w:t>
      </w:r>
      <w:proofErr w:type="spellEnd"/>
      <w:r w:rsidRPr="00526E6F">
        <w:rPr>
          <w:rFonts w:ascii="Times New Roman" w:eastAsia="Times New Roman" w:hAnsi="Times New Roman" w:cs="Times New Roman"/>
          <w:sz w:val="24"/>
          <w:szCs w:val="24"/>
        </w:rPr>
        <w:t xml:space="preserve"> work shows that even within warp-drive spacetime design, different geometric choices can change whether expansion is present, which is exactly why your CST layer needs to specify what it modifies: the source term, the metric ansatz, the foliation, or only the control protocol. </w:t>
      </w:r>
    </w:p>
    <w:p w14:paraId="7B2C6A60"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For academic defensibility, the safest formulation is this: </w:t>
      </w:r>
      <w:r w:rsidRPr="00526E6F">
        <w:rPr>
          <w:rFonts w:ascii="Times New Roman" w:eastAsia="Times New Roman" w:hAnsi="Times New Roman" w:cs="Times New Roman"/>
          <w:b/>
          <w:bCs/>
          <w:sz w:val="24"/>
          <w:szCs w:val="24"/>
        </w:rPr>
        <w:t>standard GR remains the geometric backbone; CST is introduced as an auxiliary synchronization-and-control framework that selects, stabilizes, or steers admissible field states and trajectories without claiming to replace Einstein’s equations outright.</w:t>
      </w:r>
      <w:r w:rsidRPr="00526E6F">
        <w:rPr>
          <w:rFonts w:ascii="Times New Roman" w:eastAsia="Times New Roman" w:hAnsi="Times New Roman" w:cs="Times New Roman"/>
          <w:sz w:val="24"/>
          <w:szCs w:val="24"/>
        </w:rPr>
        <w:t xml:space="preserve"> This avoids overstating the theory while preserving your central claim that timing, coherence, and feedback are operationally important. That framing is also consistent with how real precision navigation systems already depend on relativistic timing corrections rather than treating clocks as passive readouts. NASA notes that GPS requires relativistic corrections, with uncorrected timing errors accumulating rapidly; NIST’s SI guidance also emphasizes that units in relativistic contexts are local proper units, which supports your emphasis on reference-frame-aware timing. </w:t>
      </w:r>
    </w:p>
    <w:p w14:paraId="71F9D44A"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Reviewer-Facing Comparison Statement</w:t>
      </w:r>
    </w:p>
    <w:p w14:paraId="18521EFC"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 concise comparison for the paper can read as follows. In standard GR, curvature is sourced by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w:r w:rsidRPr="00526E6F">
        <w:rPr>
          <w:rFonts w:ascii="Times New Roman" w:eastAsia="Times New Roman" w:hAnsi="Times New Roman" w:cs="Times New Roman"/>
          <w:sz w:val="24"/>
          <w:szCs w:val="24"/>
        </w:rPr>
        <w:t xml:space="preserve">, trajectories follow geodesics, and proper time is a consequence of the metric. In the CST framework, those same GR quantities remain present, but reactor coherence, phase locking, harmonic flux, and synchronization error are treated as control observables that influence how a candidate warp configuration is generated, maintained, or navigated. CST therefore differs from standard GR not by removing curvature physics, but by introducing a systems-engineering layer that couples field generation, coherence maintenance, and timing alignment to the relativistic geometry. Your uploaded document already follows that logic when it maps Schrödinger, Dirac, Klein–Gordon, Maxwell, Raychaudhuri, and transport equations into reactor core, warp bubble, and navigation roles. </w:t>
      </w:r>
    </w:p>
    <w:p w14:paraId="3998DDC4" w14:textId="77777777" w:rsidR="00526E6F" w:rsidRDefault="00526E6F" w:rsidP="00526E6F">
      <w:pPr>
        <w:spacing w:before="100" w:beforeAutospacing="1" w:after="100" w:afterAutospacing="1" w:line="240" w:lineRule="auto"/>
        <w:rPr>
          <w:rFonts w:ascii="Times New Roman" w:eastAsia="Times New Roman" w:hAnsi="Times New Roman" w:cs="Times New Roman"/>
          <w:b/>
          <w:bCs/>
          <w:sz w:val="24"/>
          <w:szCs w:val="24"/>
        </w:rPr>
      </w:pPr>
    </w:p>
    <w:p w14:paraId="3240D1BE" w14:textId="77777777" w:rsidR="00526E6F" w:rsidRDefault="00526E6F" w:rsidP="00526E6F">
      <w:pPr>
        <w:spacing w:before="100" w:beforeAutospacing="1" w:after="100" w:afterAutospacing="1" w:line="240" w:lineRule="auto"/>
        <w:rPr>
          <w:rFonts w:ascii="Times New Roman" w:eastAsia="Times New Roman" w:hAnsi="Times New Roman" w:cs="Times New Roman"/>
          <w:b/>
          <w:bCs/>
          <w:sz w:val="24"/>
          <w:szCs w:val="24"/>
        </w:rPr>
      </w:pPr>
    </w:p>
    <w:p w14:paraId="217B6604" w14:textId="38806F76"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lastRenderedPageBreak/>
        <w:t>What CST Must Clarify Against GR</w:t>
      </w:r>
    </w:p>
    <w:p w14:paraId="16057156" w14:textId="09CD4EBD"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To survive review, the document should explicitly distinguish three levels. The first is the </w:t>
      </w:r>
      <w:r w:rsidRPr="00526E6F">
        <w:rPr>
          <w:rFonts w:ascii="Times New Roman" w:eastAsia="Times New Roman" w:hAnsi="Times New Roman" w:cs="Times New Roman"/>
          <w:b/>
          <w:bCs/>
          <w:sz w:val="24"/>
          <w:szCs w:val="24"/>
        </w:rPr>
        <w:t>geometric level</w:t>
      </w:r>
      <w:r w:rsidRPr="00526E6F">
        <w:rPr>
          <w:rFonts w:ascii="Times New Roman" w:eastAsia="Times New Roman" w:hAnsi="Times New Roman" w:cs="Times New Roman"/>
          <w:sz w:val="24"/>
          <w:szCs w:val="24"/>
        </w:rPr>
        <w:t xml:space="preserve">, where the metric, curvature tensors, and geodesics live. The second is the </w:t>
      </w:r>
      <w:r w:rsidRPr="00526E6F">
        <w:rPr>
          <w:rFonts w:ascii="Times New Roman" w:eastAsia="Times New Roman" w:hAnsi="Times New Roman" w:cs="Times New Roman"/>
          <w:b/>
          <w:bCs/>
          <w:sz w:val="24"/>
          <w:szCs w:val="24"/>
        </w:rPr>
        <w:t>source-and-medium level</w:t>
      </w:r>
      <w:r w:rsidRPr="00526E6F">
        <w:rPr>
          <w:rFonts w:ascii="Times New Roman" w:eastAsia="Times New Roman" w:hAnsi="Times New Roman" w:cs="Times New Roman"/>
          <w:sz w:val="24"/>
          <w:szCs w:val="24"/>
        </w:rPr>
        <w:t xml:space="preserve">, where plasma, electromagnetic fields, scalar fields, and thermodynamic transport determine what effective stress–energy is available. The third is the </w:t>
      </w:r>
      <w:r w:rsidRPr="00526E6F">
        <w:rPr>
          <w:rFonts w:ascii="Times New Roman" w:eastAsia="Times New Roman" w:hAnsi="Times New Roman" w:cs="Times New Roman"/>
          <w:b/>
          <w:bCs/>
          <w:sz w:val="24"/>
          <w:szCs w:val="24"/>
        </w:rPr>
        <w:t>control level</w:t>
      </w:r>
      <w:r w:rsidRPr="00526E6F">
        <w:rPr>
          <w:rFonts w:ascii="Times New Roman" w:eastAsia="Times New Roman" w:hAnsi="Times New Roman" w:cs="Times New Roman"/>
          <w:sz w:val="24"/>
          <w:szCs w:val="24"/>
        </w:rPr>
        <w:t xml:space="preserve">, where CST synchronization variables such as </w:t>
      </w:r>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oMath>
      <w:r w:rsidRPr="00526E6F">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Φ</m:t>
            </m:r>
          </m:e>
          <m:sup>
            <m:r>
              <w:rPr>
                <w:rFonts w:ascii="Cambria Math" w:eastAsia="Times New Roman" w:hAnsi="Cambria Math" w:cs="Times New Roman"/>
                <w:sz w:val="24"/>
                <w:szCs w:val="24"/>
              </w:rPr>
              <m:t>H</m:t>
            </m:r>
          </m:sup>
        </m:sSup>
      </m:oMath>
      <w:r w:rsidRPr="00526E6F">
        <w:rPr>
          <w:rFonts w:ascii="Times New Roman" w:eastAsia="Times New Roman" w:hAnsi="Times New Roman" w:cs="Times New Roman"/>
          <w:sz w:val="24"/>
          <w:szCs w:val="24"/>
        </w:rPr>
        <w:t xml:space="preserve">are introduced as operational state variables. Right </w:t>
      </w:r>
      <w:r w:rsidRPr="00526E6F">
        <w:rPr>
          <w:rFonts w:ascii="Times New Roman" w:eastAsia="Times New Roman" w:hAnsi="Times New Roman" w:cs="Times New Roman"/>
          <w:sz w:val="24"/>
          <w:szCs w:val="24"/>
        </w:rPr>
        <w:t>now,</w:t>
      </w:r>
      <w:r w:rsidRPr="00526E6F">
        <w:rPr>
          <w:rFonts w:ascii="Times New Roman" w:eastAsia="Times New Roman" w:hAnsi="Times New Roman" w:cs="Times New Roman"/>
          <w:sz w:val="24"/>
          <w:szCs w:val="24"/>
        </w:rPr>
        <w:t xml:space="preserve"> your document contains all three, but they should be separated more sharply so reviewers do not read the CST symbols as replacements for established relativistic tensors unless that is truly your claim. </w:t>
      </w:r>
    </w:p>
    <w:p w14:paraId="69D9A77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Dimensional Analysis Table</w:t>
      </w:r>
    </w:p>
    <w:p w14:paraId="5DFA550C"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The most important dimensional-defense step is to show which equations are standard dimensional equations, which are normalized relations, and which are proposed CST effective relations. NIST’s SI guidance is useful here because it emphasizes that equations must be tied to a coherent system of quantities and units.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110"/>
        <w:gridCol w:w="2036"/>
        <w:gridCol w:w="3276"/>
      </w:tblGrid>
      <w:tr w:rsidR="00526E6F" w:rsidRPr="00526E6F" w14:paraId="0FBF0CF1" w14:textId="77777777">
        <w:trPr>
          <w:tblHeader/>
          <w:tblCellSpacing w:w="15" w:type="dxa"/>
        </w:trPr>
        <w:tc>
          <w:tcPr>
            <w:tcW w:w="0" w:type="auto"/>
            <w:vAlign w:val="center"/>
            <w:hideMark/>
          </w:tcPr>
          <w:p w14:paraId="679D9EE0" w14:textId="77777777" w:rsidR="00526E6F" w:rsidRPr="00526E6F" w:rsidRDefault="00526E6F" w:rsidP="00526E6F">
            <w:pPr>
              <w:spacing w:after="0" w:line="240" w:lineRule="auto"/>
              <w:jc w:val="center"/>
              <w:rPr>
                <w:rFonts w:ascii="Times New Roman" w:eastAsia="Times New Roman" w:hAnsi="Times New Roman" w:cs="Times New Roman"/>
                <w:b/>
                <w:bCs/>
                <w:sz w:val="24"/>
                <w:szCs w:val="24"/>
              </w:rPr>
            </w:pPr>
            <w:r w:rsidRPr="00526E6F">
              <w:rPr>
                <w:rFonts w:ascii="Times New Roman" w:eastAsia="Times New Roman" w:hAnsi="Times New Roman" w:cs="Times New Roman"/>
                <w:b/>
                <w:bCs/>
                <w:sz w:val="24"/>
                <w:szCs w:val="24"/>
              </w:rPr>
              <w:t>Expression</w:t>
            </w:r>
          </w:p>
        </w:tc>
        <w:tc>
          <w:tcPr>
            <w:tcW w:w="0" w:type="auto"/>
            <w:vAlign w:val="center"/>
            <w:hideMark/>
          </w:tcPr>
          <w:p w14:paraId="24E4D856" w14:textId="77777777" w:rsidR="00526E6F" w:rsidRPr="00526E6F" w:rsidRDefault="00526E6F" w:rsidP="00526E6F">
            <w:pPr>
              <w:spacing w:after="0" w:line="240" w:lineRule="auto"/>
              <w:jc w:val="center"/>
              <w:rPr>
                <w:rFonts w:ascii="Times New Roman" w:eastAsia="Times New Roman" w:hAnsi="Times New Roman" w:cs="Times New Roman"/>
                <w:b/>
                <w:bCs/>
                <w:sz w:val="24"/>
                <w:szCs w:val="24"/>
              </w:rPr>
            </w:pPr>
            <w:r w:rsidRPr="00526E6F">
              <w:rPr>
                <w:rFonts w:ascii="Times New Roman" w:eastAsia="Times New Roman" w:hAnsi="Times New Roman" w:cs="Times New Roman"/>
                <w:b/>
                <w:bCs/>
                <w:sz w:val="24"/>
                <w:szCs w:val="24"/>
              </w:rPr>
              <w:t>Intended role in your framework</w:t>
            </w:r>
          </w:p>
        </w:tc>
        <w:tc>
          <w:tcPr>
            <w:tcW w:w="0" w:type="auto"/>
            <w:vAlign w:val="center"/>
            <w:hideMark/>
          </w:tcPr>
          <w:p w14:paraId="7A4C105D" w14:textId="77777777" w:rsidR="00526E6F" w:rsidRPr="00526E6F" w:rsidRDefault="00526E6F" w:rsidP="00526E6F">
            <w:pPr>
              <w:spacing w:after="0" w:line="240" w:lineRule="auto"/>
              <w:jc w:val="center"/>
              <w:rPr>
                <w:rFonts w:ascii="Times New Roman" w:eastAsia="Times New Roman" w:hAnsi="Times New Roman" w:cs="Times New Roman"/>
                <w:b/>
                <w:bCs/>
                <w:sz w:val="24"/>
                <w:szCs w:val="24"/>
              </w:rPr>
            </w:pPr>
            <w:r w:rsidRPr="00526E6F">
              <w:rPr>
                <w:rFonts w:ascii="Times New Roman" w:eastAsia="Times New Roman" w:hAnsi="Times New Roman" w:cs="Times New Roman"/>
                <w:b/>
                <w:bCs/>
                <w:sz w:val="24"/>
                <w:szCs w:val="24"/>
              </w:rPr>
              <w:t>Dimensional status</w:t>
            </w:r>
          </w:p>
        </w:tc>
        <w:tc>
          <w:tcPr>
            <w:tcW w:w="0" w:type="auto"/>
            <w:vAlign w:val="center"/>
            <w:hideMark/>
          </w:tcPr>
          <w:p w14:paraId="531CB7AB" w14:textId="58A0432B" w:rsidR="00526E6F" w:rsidRPr="00526E6F" w:rsidRDefault="00526E6F" w:rsidP="00526E6F">
            <w:pPr>
              <w:spacing w:after="0" w:line="240" w:lineRule="auto"/>
              <w:jc w:val="center"/>
              <w:rPr>
                <w:rFonts w:ascii="Times New Roman" w:eastAsia="Times New Roman" w:hAnsi="Times New Roman" w:cs="Times New Roman"/>
                <w:b/>
                <w:bCs/>
                <w:sz w:val="24"/>
                <w:szCs w:val="24"/>
              </w:rPr>
            </w:pPr>
            <w:r w:rsidRPr="00526E6F">
              <w:rPr>
                <w:rFonts w:ascii="Times New Roman" w:eastAsia="Times New Roman" w:hAnsi="Times New Roman" w:cs="Times New Roman"/>
                <w:b/>
                <w:bCs/>
                <w:sz w:val="24"/>
                <w:szCs w:val="24"/>
              </w:rPr>
              <w:t>Reviewers</w:t>
            </w:r>
            <w:r w:rsidRPr="00526E6F">
              <w:rPr>
                <w:rFonts w:ascii="Times New Roman" w:eastAsia="Times New Roman" w:hAnsi="Times New Roman" w:cs="Times New Roman"/>
                <w:b/>
                <w:bCs/>
                <w:sz w:val="24"/>
                <w:szCs w:val="24"/>
              </w:rPr>
              <w:t xml:space="preserve"> note</w:t>
            </w:r>
          </w:p>
        </w:tc>
      </w:tr>
      <w:tr w:rsidR="00526E6F" w:rsidRPr="00526E6F" w14:paraId="221106CF" w14:textId="77777777">
        <w:trPr>
          <w:tblCellSpacing w:w="15" w:type="dxa"/>
        </w:trPr>
        <w:tc>
          <w:tcPr>
            <w:tcW w:w="0" w:type="auto"/>
            <w:vAlign w:val="center"/>
            <w:hideMark/>
          </w:tcPr>
          <w:p w14:paraId="2F6029A8"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m:oMathPara>
          </w:p>
        </w:tc>
        <w:tc>
          <w:tcPr>
            <w:tcW w:w="0" w:type="auto"/>
            <w:vAlign w:val="center"/>
            <w:hideMark/>
          </w:tcPr>
          <w:p w14:paraId="172ADD0A"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Core GR curvature-source relation</w:t>
            </w:r>
          </w:p>
        </w:tc>
        <w:tc>
          <w:tcPr>
            <w:tcW w:w="0" w:type="auto"/>
            <w:vAlign w:val="center"/>
            <w:hideMark/>
          </w:tcPr>
          <w:p w14:paraId="626E754A"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Dimensionally standard</w:t>
            </w:r>
          </w:p>
        </w:tc>
        <w:tc>
          <w:tcPr>
            <w:tcW w:w="0" w:type="auto"/>
            <w:vAlign w:val="center"/>
            <w:hideMark/>
          </w:tcPr>
          <w:p w14:paraId="42967B9D"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Keep unchanged as the geometric backbone. </w:t>
            </w:r>
          </w:p>
        </w:tc>
      </w:tr>
      <w:tr w:rsidR="00526E6F" w:rsidRPr="00526E6F" w14:paraId="642CFFFF" w14:textId="77777777">
        <w:trPr>
          <w:tblCellSpacing w:w="15" w:type="dxa"/>
        </w:trPr>
        <w:tc>
          <w:tcPr>
            <w:tcW w:w="0" w:type="auto"/>
            <w:vAlign w:val="center"/>
            <w:hideMark/>
          </w:tcPr>
          <w:p w14:paraId="023F05B3"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ℏ</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ψ=</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H</m:t>
                    </m:r>
                  </m:e>
                </m:acc>
                <m:r>
                  <w:rPr>
                    <w:rFonts w:ascii="Cambria Math" w:eastAsia="Times New Roman" w:hAnsi="Cambria Math" w:cs="Times New Roman"/>
                    <w:sz w:val="24"/>
                    <w:szCs w:val="24"/>
                  </w:rPr>
                  <m:t>ψ</m:t>
                </m:r>
              </m:oMath>
            </m:oMathPara>
          </w:p>
        </w:tc>
        <w:tc>
          <w:tcPr>
            <w:tcW w:w="0" w:type="auto"/>
            <w:vAlign w:val="center"/>
            <w:hideMark/>
          </w:tcPr>
          <w:p w14:paraId="46CA56FA"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Quantum mode evolution in reactor/navigation channels</w:t>
            </w:r>
          </w:p>
        </w:tc>
        <w:tc>
          <w:tcPr>
            <w:tcW w:w="0" w:type="auto"/>
            <w:vAlign w:val="center"/>
            <w:hideMark/>
          </w:tcPr>
          <w:p w14:paraId="5B77A271"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Dimensionally standard</w:t>
            </w:r>
          </w:p>
        </w:tc>
        <w:tc>
          <w:tcPr>
            <w:tcW w:w="0" w:type="auto"/>
            <w:vAlign w:val="center"/>
            <w:hideMark/>
          </w:tcPr>
          <w:p w14:paraId="179FAFEE"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Good as written if </w:t>
            </w:r>
            <m:oMath>
              <m:r>
                <w:rPr>
                  <w:rFonts w:ascii="Cambria Math" w:eastAsia="Times New Roman" w:hAnsi="Cambria Math" w:cs="Times New Roman"/>
                  <w:sz w:val="24"/>
                  <w:szCs w:val="24"/>
                </w:rPr>
                <m:t>ψ</m:t>
              </m:r>
            </m:oMath>
            <w:r w:rsidRPr="00526E6F">
              <w:rPr>
                <w:rFonts w:ascii="Times New Roman" w:eastAsia="Times New Roman" w:hAnsi="Times New Roman" w:cs="Times New Roman"/>
                <w:sz w:val="24"/>
                <w:szCs w:val="24"/>
              </w:rPr>
              <w:t xml:space="preserve">and </w:t>
            </w:r>
            <m:oMath>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H</m:t>
                  </m:r>
                </m:e>
              </m:acc>
            </m:oMath>
            <w:r w:rsidRPr="00526E6F">
              <w:rPr>
                <w:rFonts w:ascii="Times New Roman" w:eastAsia="Times New Roman" w:hAnsi="Times New Roman" w:cs="Times New Roman"/>
                <w:sz w:val="24"/>
                <w:szCs w:val="24"/>
              </w:rPr>
              <w:t>are defined consistently.</w:t>
            </w:r>
          </w:p>
        </w:tc>
      </w:tr>
      <w:tr w:rsidR="00526E6F" w:rsidRPr="00526E6F" w14:paraId="2751CB63" w14:textId="77777777">
        <w:trPr>
          <w:tblCellSpacing w:w="15" w:type="dxa"/>
        </w:trPr>
        <w:tc>
          <w:tcPr>
            <w:tcW w:w="0" w:type="auto"/>
            <w:vAlign w:val="center"/>
            <w:hideMark/>
          </w:tcPr>
          <w:p w14:paraId="2D65BEDE"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(i</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γ</m:t>
                    </m:r>
                  </m:e>
                  <m:sup>
                    <m:r>
                      <w:rPr>
                        <w:rFonts w:ascii="Cambria Math" w:eastAsia="Times New Roman" w:hAnsi="Cambria Math" w:cs="Times New Roman"/>
                        <w:sz w:val="24"/>
                        <w:szCs w:val="24"/>
                      </w:rPr>
                      <m:t>μ</m:t>
                    </m:r>
                  </m:sup>
                </m:sSup>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m:t>
                    </m:r>
                  </m:e>
                  <m:sub>
                    <m:r>
                      <w:rPr>
                        <w:rFonts w:ascii="Cambria Math" w:eastAsia="Times New Roman" w:hAnsi="Cambria Math" w:cs="Times New Roman"/>
                        <w:sz w:val="24"/>
                        <w:szCs w:val="24"/>
                      </w:rPr>
                      <m:t>μ</m:t>
                    </m:r>
                  </m:sub>
                </m:sSub>
                <m:r>
                  <w:rPr>
                    <w:rFonts w:ascii="Cambria Math" w:eastAsia="Times New Roman" w:hAnsi="Cambria Math" w:cs="Times New Roman"/>
                    <w:sz w:val="24"/>
                    <w:szCs w:val="24"/>
                  </w:rPr>
                  <m:t>-m)ψ=0</m:t>
                </m:r>
              </m:oMath>
            </m:oMathPara>
          </w:p>
        </w:tc>
        <w:tc>
          <w:tcPr>
            <w:tcW w:w="0" w:type="auto"/>
            <w:vAlign w:val="center"/>
            <w:hideMark/>
          </w:tcPr>
          <w:p w14:paraId="33580D56"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Relativistic spinor constraint</w:t>
            </w:r>
          </w:p>
        </w:tc>
        <w:tc>
          <w:tcPr>
            <w:tcW w:w="0" w:type="auto"/>
            <w:vAlign w:val="center"/>
            <w:hideMark/>
          </w:tcPr>
          <w:p w14:paraId="5404690B" w14:textId="31A58504"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Dimensional</w:t>
            </w:r>
            <w:r w:rsidRPr="00526E6F">
              <w:rPr>
                <w:rFonts w:ascii="Times New Roman" w:eastAsia="Times New Roman" w:hAnsi="Times New Roman" w:cs="Times New Roman"/>
                <w:sz w:val="24"/>
                <w:szCs w:val="24"/>
              </w:rPr>
              <w:t xml:space="preserve"> standard in chosen unit convention</w:t>
            </w:r>
          </w:p>
        </w:tc>
        <w:tc>
          <w:tcPr>
            <w:tcW w:w="0" w:type="auto"/>
            <w:vAlign w:val="center"/>
            <w:hideMark/>
          </w:tcPr>
          <w:p w14:paraId="483EABCE"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State whether you use SI or relativistic units </w:t>
            </w:r>
            <m:oMath>
              <m:r>
                <w:rPr>
                  <w:rFonts w:ascii="Cambria Math" w:eastAsia="Times New Roman" w:hAnsi="Cambria Math" w:cs="Times New Roman"/>
                  <w:sz w:val="24"/>
                  <w:szCs w:val="24"/>
                </w:rPr>
                <m:t>c=</m:t>
              </m:r>
              <m:r>
                <m:rPr>
                  <m:sty m:val="p"/>
                </m:rPr>
                <w:rPr>
                  <w:rFonts w:ascii="Cambria Math" w:eastAsia="Times New Roman" w:hAnsi="Cambria Math" w:cs="Times New Roman"/>
                  <w:sz w:val="24"/>
                  <w:szCs w:val="24"/>
                </w:rPr>
                <m:t>ℏ</m:t>
              </m:r>
              <m:r>
                <w:rPr>
                  <w:rFonts w:ascii="Cambria Math" w:eastAsia="Times New Roman" w:hAnsi="Cambria Math" w:cs="Times New Roman"/>
                  <w:sz w:val="24"/>
                  <w:szCs w:val="24"/>
                </w:rPr>
                <m:t>=1</m:t>
              </m:r>
            </m:oMath>
            <w:r w:rsidRPr="00526E6F">
              <w:rPr>
                <w:rFonts w:ascii="Times New Roman" w:eastAsia="Times New Roman" w:hAnsi="Times New Roman" w:cs="Times New Roman"/>
                <w:sz w:val="24"/>
                <w:szCs w:val="24"/>
              </w:rPr>
              <w:t>.</w:t>
            </w:r>
          </w:p>
        </w:tc>
      </w:tr>
      <w:tr w:rsidR="00526E6F" w:rsidRPr="00526E6F" w14:paraId="0196CF83" w14:textId="77777777">
        <w:trPr>
          <w:tblCellSpacing w:w="15" w:type="dxa"/>
        </w:trPr>
        <w:tc>
          <w:tcPr>
            <w:tcW w:w="0" w:type="auto"/>
            <w:vAlign w:val="center"/>
            <w:hideMark/>
          </w:tcPr>
          <w:p w14:paraId="07F46EBC"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)ϕ=0</m:t>
                </m:r>
              </m:oMath>
            </m:oMathPara>
          </w:p>
        </w:tc>
        <w:tc>
          <w:tcPr>
            <w:tcW w:w="0" w:type="auto"/>
            <w:vAlign w:val="center"/>
            <w:hideMark/>
          </w:tcPr>
          <w:p w14:paraId="4748C6A3"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Scalar support-field model</w:t>
            </w:r>
          </w:p>
        </w:tc>
        <w:tc>
          <w:tcPr>
            <w:tcW w:w="0" w:type="auto"/>
            <w:vAlign w:val="center"/>
            <w:hideMark/>
          </w:tcPr>
          <w:p w14:paraId="4DF938BA"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Dimensionally standard in natural units</w:t>
            </w:r>
          </w:p>
        </w:tc>
        <w:tc>
          <w:tcPr>
            <w:tcW w:w="0" w:type="auto"/>
            <w:vAlign w:val="center"/>
            <w:hideMark/>
          </w:tcPr>
          <w:p w14:paraId="6D02056B"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If using SI, write mass term in explicitly converted form.</w:t>
            </w:r>
          </w:p>
        </w:tc>
      </w:tr>
      <w:tr w:rsidR="00526E6F" w:rsidRPr="00526E6F" w14:paraId="763C8FAC" w14:textId="77777777">
        <w:trPr>
          <w:tblCellSpacing w:w="15" w:type="dxa"/>
        </w:trPr>
        <w:tc>
          <w:tcPr>
            <w:tcW w:w="0" w:type="auto"/>
            <w:vAlign w:val="center"/>
            <w:hideMark/>
          </w:tcPr>
          <w:p w14:paraId="11A38EF6"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E</m:t>
                </m:r>
                <m:r>
                  <m:rPr>
                    <m:nor/>
                  </m:rPr>
                  <w:rPr>
                    <w:rFonts w:ascii="Times New Roman" w:eastAsia="Times New Roman" w:hAnsi="Times New Roman" w:cs="Times New Roman"/>
                    <w:sz w:val="24"/>
                    <w:szCs w:val="24"/>
                  </w:rPr>
                  <m:t> </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ℏ/</m:t>
                </m:r>
                <m:r>
                  <w:rPr>
                    <w:rFonts w:ascii="Cambria Math" w:eastAsia="Times New Roman" w:hAnsi="Cambria Math" w:cs="Times New Roman"/>
                    <w:sz w:val="24"/>
                    <w:szCs w:val="24"/>
                  </w:rPr>
                  <m:t>2</m:t>
                </m:r>
              </m:oMath>
            </m:oMathPara>
          </w:p>
        </w:tc>
        <w:tc>
          <w:tcPr>
            <w:tcW w:w="0" w:type="auto"/>
            <w:vAlign w:val="center"/>
            <w:hideMark/>
          </w:tcPr>
          <w:p w14:paraId="4AB039F3"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Pulse-width / control-limit constraint</w:t>
            </w:r>
          </w:p>
        </w:tc>
        <w:tc>
          <w:tcPr>
            <w:tcW w:w="0" w:type="auto"/>
            <w:vAlign w:val="center"/>
            <w:hideMark/>
          </w:tcPr>
          <w:p w14:paraId="65AC08A9"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Dimensionally standard</w:t>
            </w:r>
          </w:p>
        </w:tc>
        <w:tc>
          <w:tcPr>
            <w:tcW w:w="0" w:type="auto"/>
            <w:vAlign w:val="center"/>
            <w:hideMark/>
          </w:tcPr>
          <w:p w14:paraId="13D53AC7"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Strong supporting constraint for switching and timing.</w:t>
            </w:r>
          </w:p>
        </w:tc>
      </w:tr>
      <w:tr w:rsidR="00526E6F" w:rsidRPr="00526E6F" w14:paraId="7B4948B5" w14:textId="77777777">
        <w:trPr>
          <w:tblCellSpacing w:w="15" w:type="dxa"/>
        </w:trPr>
        <w:tc>
          <w:tcPr>
            <w:tcW w:w="0" w:type="auto"/>
            <w:vAlign w:val="center"/>
            <w:hideMark/>
          </w:tcPr>
          <w:p w14:paraId="0C60C035"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Φ</m:t>
                    </m:r>
                  </m:e>
                  <m:sup>
                    <m:r>
                      <w:rPr>
                        <w:rFonts w:ascii="Cambria Math" w:eastAsia="Times New Roman" w:hAnsi="Cambria Math" w:cs="Times New Roman"/>
                        <w:sz w:val="24"/>
                        <w:szCs w:val="24"/>
                      </w:rPr>
                      <m:t>H</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×A)⋅dS</m:t>
                </m:r>
              </m:oMath>
            </m:oMathPara>
          </w:p>
        </w:tc>
        <w:tc>
          <w:tcPr>
            <w:tcW w:w="0" w:type="auto"/>
            <w:vAlign w:val="center"/>
            <w:hideMark/>
          </w:tcPr>
          <w:p w14:paraId="76BA7B81"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Harmonic flux diagnostic</w:t>
            </w:r>
          </w:p>
        </w:tc>
        <w:tc>
          <w:tcPr>
            <w:tcW w:w="0" w:type="auto"/>
            <w:vAlign w:val="center"/>
            <w:hideMark/>
          </w:tcPr>
          <w:p w14:paraId="6B21044A"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Conditionally valid</w:t>
            </w:r>
          </w:p>
        </w:tc>
        <w:tc>
          <w:tcPr>
            <w:tcW w:w="0" w:type="auto"/>
            <w:vAlign w:val="center"/>
            <w:hideMark/>
          </w:tcPr>
          <w:p w14:paraId="6CAE719B" w14:textId="77777777" w:rsidR="00526E6F" w:rsidRPr="00526E6F" w:rsidRDefault="00526E6F" w:rsidP="00526E6F">
            <w:pPr>
              <w:spacing w:after="0"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must be dimensionless and </w:t>
            </w:r>
            <m:oMath>
              <m:r>
                <w:rPr>
                  <w:rFonts w:ascii="Cambria Math" w:eastAsia="Times New Roman" w:hAnsi="Cambria Math" w:cs="Times New Roman"/>
                  <w:sz w:val="24"/>
                  <w:szCs w:val="24"/>
                </w:rPr>
                <m:t>A</m:t>
              </m:r>
            </m:oMath>
            <w:r w:rsidRPr="00526E6F">
              <w:rPr>
                <w:rFonts w:ascii="Times New Roman" w:eastAsia="Times New Roman" w:hAnsi="Times New Roman" w:cs="Times New Roman"/>
                <w:sz w:val="24"/>
                <w:szCs w:val="24"/>
              </w:rPr>
              <w:t xml:space="preserve">must be assigned a unit convention; otherwise </w:t>
            </w:r>
            <m:oMath>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Φ</m:t>
                  </m:r>
                </m:e>
                <m:sup>
                  <m:r>
                    <w:rPr>
                      <w:rFonts w:ascii="Cambria Math" w:eastAsia="Times New Roman" w:hAnsi="Cambria Math" w:cs="Times New Roman"/>
                      <w:sz w:val="24"/>
                      <w:szCs w:val="24"/>
                    </w:rPr>
                    <m:t>H</m:t>
                  </m:r>
                </m:sup>
              </m:sSup>
            </m:oMath>
            <w:r w:rsidRPr="00526E6F">
              <w:rPr>
                <w:rFonts w:ascii="Times New Roman" w:eastAsia="Times New Roman" w:hAnsi="Times New Roman" w:cs="Times New Roman"/>
                <w:sz w:val="24"/>
                <w:szCs w:val="24"/>
              </w:rPr>
              <w:t xml:space="preserve">inherits the dimensions of magnetic flux-like quantities. </w:t>
            </w:r>
          </w:p>
        </w:tc>
      </w:tr>
      <w:tr w:rsidR="00526E6F" w:rsidRPr="00526E6F" w14:paraId="3F12B35B" w14:textId="77777777">
        <w:trPr>
          <w:tblCellSpacing w:w="15" w:type="dxa"/>
        </w:trPr>
        <w:tc>
          <w:tcPr>
            <w:tcW w:w="0" w:type="auto"/>
            <w:vAlign w:val="center"/>
            <w:hideMark/>
          </w:tcPr>
          <w:p w14:paraId="45773C44"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Φ</m:t>
                    </m:r>
                  </m:e>
                  <m:sup>
                    <m:r>
                      <w:rPr>
                        <w:rFonts w:ascii="Cambria Math" w:eastAsia="Times New Roman" w:hAnsi="Cambria Math" w:cs="Times New Roman"/>
                        <w:sz w:val="24"/>
                        <w:szCs w:val="24"/>
                      </w:rPr>
                      <m:t>H</m:t>
                    </m:r>
                  </m:sup>
                </m:sSup>
                <m:r>
                  <w:rPr>
                    <w:rFonts w:ascii="Cambria Math" w:eastAsia="Times New Roman" w:hAnsi="Cambria Math" w:cs="Times New Roman"/>
                    <w:sz w:val="24"/>
                    <w:szCs w:val="24"/>
                  </w:rPr>
                  <m:t>=0</m:t>
                </m:r>
              </m:oMath>
            </m:oMathPara>
          </w:p>
        </w:tc>
        <w:tc>
          <w:tcPr>
            <w:tcW w:w="0" w:type="auto"/>
            <w:vAlign w:val="center"/>
            <w:hideMark/>
          </w:tcPr>
          <w:p w14:paraId="0A4FE7EE"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Harmonic-flux conservation</w:t>
            </w:r>
          </w:p>
        </w:tc>
        <w:tc>
          <w:tcPr>
            <w:tcW w:w="0" w:type="auto"/>
            <w:vAlign w:val="center"/>
            <w:hideMark/>
          </w:tcPr>
          <w:p w14:paraId="3681462A"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Needs tensor/vector definition</w:t>
            </w:r>
          </w:p>
        </w:tc>
        <w:tc>
          <w:tcPr>
            <w:tcW w:w="0" w:type="auto"/>
            <w:vAlign w:val="center"/>
            <w:hideMark/>
          </w:tcPr>
          <w:p w14:paraId="186D95A6"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As written, divergence applies to a vector field, not a scalar flux; define </w:t>
            </w:r>
            <m:oMath>
              <m:sSup>
                <m:sSupPr>
                  <m:ctrlPr>
                    <w:rPr>
                      <w:rFonts w:ascii="Cambria Math" w:eastAsia="Times New Roman" w:hAnsi="Cambria Math" w:cs="Times New Roman"/>
                      <w:sz w:val="24"/>
                      <w:szCs w:val="24"/>
                    </w:rPr>
                  </m:ctrlPr>
                </m:sSupPr>
                <m:e>
                  <m:r>
                    <m:rPr>
                      <m:sty m:val="b"/>
                    </m:rPr>
                    <w:rPr>
                      <w:rFonts w:ascii="Cambria Math" w:eastAsia="Times New Roman" w:hAnsi="Cambria Math" w:cs="Times New Roman"/>
                      <w:sz w:val="24"/>
                      <w:szCs w:val="24"/>
                    </w:rPr>
                    <m:t>Φ</m:t>
                  </m:r>
                </m:e>
                <m:sup>
                  <m:r>
                    <w:rPr>
                      <w:rFonts w:ascii="Cambria Math" w:eastAsia="Times New Roman" w:hAnsi="Cambria Math" w:cs="Times New Roman"/>
                      <w:sz w:val="24"/>
                      <w:szCs w:val="24"/>
                    </w:rPr>
                    <m:t>H</m:t>
                  </m:r>
                </m:sup>
              </m:sSup>
            </m:oMath>
            <w:r w:rsidRPr="00526E6F">
              <w:rPr>
                <w:rFonts w:ascii="Times New Roman" w:eastAsia="Times New Roman" w:hAnsi="Times New Roman" w:cs="Times New Roman"/>
                <w:sz w:val="24"/>
                <w:szCs w:val="24"/>
              </w:rPr>
              <w:t xml:space="preserve">if divergence is </w:t>
            </w:r>
            <w:r w:rsidRPr="00526E6F">
              <w:rPr>
                <w:rFonts w:ascii="Times New Roman" w:eastAsia="Times New Roman" w:hAnsi="Times New Roman" w:cs="Times New Roman"/>
                <w:sz w:val="24"/>
                <w:szCs w:val="24"/>
              </w:rPr>
              <w:lastRenderedPageBreak/>
              <w:t xml:space="preserve">intended. </w:t>
            </w:r>
          </w:p>
        </w:tc>
      </w:tr>
      <w:tr w:rsidR="00526E6F" w:rsidRPr="00526E6F" w14:paraId="46C93AF0" w14:textId="77777777">
        <w:trPr>
          <w:tblCellSpacing w:w="15" w:type="dxa"/>
        </w:trPr>
        <w:tc>
          <w:tcPr>
            <w:tcW w:w="0" w:type="auto"/>
            <w:vAlign w:val="center"/>
            <w:hideMark/>
          </w:tcPr>
          <w:p w14:paraId="4B7790C9"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E=m(c⋅CS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oMath>
            </m:oMathPara>
          </w:p>
        </w:tc>
        <w:tc>
          <w:tcPr>
            <w:tcW w:w="0" w:type="auto"/>
            <w:vAlign w:val="center"/>
            <w:hideMark/>
          </w:tcPr>
          <w:p w14:paraId="44FA49FC"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CST-modified mass-energy relation</w:t>
            </w:r>
          </w:p>
        </w:tc>
        <w:tc>
          <w:tcPr>
            <w:tcW w:w="0" w:type="auto"/>
            <w:vAlign w:val="center"/>
            <w:hideMark/>
          </w:tcPr>
          <w:p w14:paraId="50F50FA7"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Valid only if </w:t>
            </w:r>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oMath>
            <w:r w:rsidRPr="00526E6F">
              <w:rPr>
                <w:rFonts w:ascii="Times New Roman" w:eastAsia="Times New Roman" w:hAnsi="Times New Roman" w:cs="Times New Roman"/>
                <w:sz w:val="24"/>
                <w:szCs w:val="24"/>
              </w:rPr>
              <w:t>is dimensionless</w:t>
            </w:r>
          </w:p>
        </w:tc>
        <w:tc>
          <w:tcPr>
            <w:tcW w:w="0" w:type="auto"/>
            <w:vAlign w:val="center"/>
            <w:hideMark/>
          </w:tcPr>
          <w:p w14:paraId="646661F7" w14:textId="1A2DCFA8"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State explicitly that </w:t>
            </w:r>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oMath>
            <w:r w:rsidRPr="00526E6F">
              <w:rPr>
                <w:rFonts w:ascii="Times New Roman" w:eastAsia="Times New Roman" w:hAnsi="Times New Roman" w:cs="Times New Roman"/>
                <w:sz w:val="24"/>
                <w:szCs w:val="24"/>
              </w:rPr>
              <w:t xml:space="preserve">is a pure synchronization factor; </w:t>
            </w:r>
            <w:r w:rsidRPr="00526E6F">
              <w:rPr>
                <w:rFonts w:ascii="Times New Roman" w:eastAsia="Times New Roman" w:hAnsi="Times New Roman" w:cs="Times New Roman"/>
                <w:sz w:val="24"/>
                <w:szCs w:val="24"/>
              </w:rPr>
              <w:t>otherwise,</w:t>
            </w:r>
            <w:r w:rsidRPr="00526E6F">
              <w:rPr>
                <w:rFonts w:ascii="Times New Roman" w:eastAsia="Times New Roman" w:hAnsi="Times New Roman" w:cs="Times New Roman"/>
                <w:sz w:val="24"/>
                <w:szCs w:val="24"/>
              </w:rPr>
              <w:t xml:space="preserve"> units break. </w:t>
            </w:r>
          </w:p>
        </w:tc>
      </w:tr>
      <w:tr w:rsidR="00526E6F" w:rsidRPr="00526E6F" w14:paraId="62D9ADC0" w14:textId="77777777">
        <w:trPr>
          <w:tblCellSpacing w:w="15" w:type="dxa"/>
        </w:trPr>
        <w:tc>
          <w:tcPr>
            <w:tcW w:w="0" w:type="auto"/>
            <w:vAlign w:val="center"/>
            <w:hideMark/>
          </w:tcPr>
          <w:p w14:paraId="30E6ECD8"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den>
                </m:f>
                <m:r>
                  <w:rPr>
                    <w:rFonts w:ascii="Cambria Math" w:eastAsia="Times New Roman" w:hAnsi="Cambria Math" w:cs="Times New Roman"/>
                    <w:sz w:val="24"/>
                    <w:szCs w:val="24"/>
                  </w:rPr>
                  <m:t>(c⋅</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CST</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oMath>
            </m:oMathPara>
          </w:p>
        </w:tc>
        <w:tc>
          <w:tcPr>
            <w:tcW w:w="0" w:type="auto"/>
            <w:vAlign w:val="center"/>
            <w:hideMark/>
          </w:tcPr>
          <w:p w14:paraId="2618E446"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Temporal-coherence energy</w:t>
            </w:r>
          </w:p>
        </w:tc>
        <w:tc>
          <w:tcPr>
            <w:tcW w:w="0" w:type="auto"/>
            <w:vAlign w:val="center"/>
            <w:hideMark/>
          </w:tcPr>
          <w:p w14:paraId="23FA280D"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Likely dimensionally inconsistent as written in SI</w:t>
            </w:r>
          </w:p>
        </w:tc>
        <w:tc>
          <w:tcPr>
            <w:tcW w:w="0" w:type="auto"/>
            <w:vAlign w:val="center"/>
            <w:hideMark/>
          </w:tcPr>
          <w:p w14:paraId="4EDF2D4C"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This must be re-derived or redefined with normalization constants; </w:t>
            </w:r>
            <m:oMath>
              <m:r>
                <w:rPr>
                  <w:rFonts w:ascii="Cambria Math" w:eastAsia="Times New Roman" w:hAnsi="Cambria Math" w:cs="Times New Roman"/>
                  <w:sz w:val="24"/>
                  <w:szCs w:val="24"/>
                </w:rPr>
                <m:t>m</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oMath>
            <w:r w:rsidRPr="00526E6F">
              <w:rPr>
                <w:rFonts w:ascii="Times New Roman" w:eastAsia="Times New Roman" w:hAnsi="Times New Roman" w:cs="Times New Roman"/>
                <w:sz w:val="24"/>
                <w:szCs w:val="24"/>
              </w:rPr>
              <w:t>carries volume units, so the right-hand side does not reduce to energy without extra factors.</w:t>
            </w:r>
          </w:p>
        </w:tc>
      </w:tr>
      <w:tr w:rsidR="00526E6F" w:rsidRPr="00526E6F" w14:paraId="14ADF960" w14:textId="77777777">
        <w:trPr>
          <w:tblCellSpacing w:w="15" w:type="dxa"/>
        </w:trPr>
        <w:tc>
          <w:tcPr>
            <w:tcW w:w="0" w:type="auto"/>
            <w:vAlign w:val="center"/>
            <w:hideMark/>
          </w:tcPr>
          <w:p w14:paraId="53EB833A"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m:rPr>
                        <m:nor/>
                      </m:rPr>
                      <w:rPr>
                        <w:rFonts w:ascii="Times New Roman" w:eastAsia="Times New Roman" w:hAnsi="Times New Roman" w:cs="Times New Roman"/>
                        <w:sz w:val="24"/>
                        <w:szCs w:val="24"/>
                      </w:rPr>
                      <m:t>eff</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8π</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m:oMathPara>
          </w:p>
        </w:tc>
        <w:tc>
          <w:tcPr>
            <w:tcW w:w="0" w:type="auto"/>
            <w:vAlign w:val="center"/>
            <w:hideMark/>
          </w:tcPr>
          <w:p w14:paraId="0D16382B"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CST harmonic coherence law</w:t>
            </w:r>
          </w:p>
        </w:tc>
        <w:tc>
          <w:tcPr>
            <w:tcW w:w="0" w:type="auto"/>
            <w:vAlign w:val="center"/>
            <w:hideMark/>
          </w:tcPr>
          <w:p w14:paraId="287572E9"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Dimensionless, not Newton’s </w:t>
            </w:r>
            <m:oMath>
              <m:r>
                <w:rPr>
                  <w:rFonts w:ascii="Cambria Math" w:eastAsia="Times New Roman" w:hAnsi="Cambria Math" w:cs="Times New Roman"/>
                  <w:sz w:val="24"/>
                  <w:szCs w:val="24"/>
                </w:rPr>
                <m:t>G</m:t>
              </m:r>
            </m:oMath>
          </w:p>
        </w:tc>
        <w:tc>
          <w:tcPr>
            <w:tcW w:w="0" w:type="auto"/>
            <w:vAlign w:val="center"/>
            <w:hideMark/>
          </w:tcPr>
          <w:p w14:paraId="3CC60B58"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Rename it to avoid conflict with the gravitational constant; as written it behaves like a dimensionless ratio. </w:t>
            </w:r>
          </w:p>
        </w:tc>
      </w:tr>
      <w:tr w:rsidR="00526E6F" w:rsidRPr="00526E6F" w14:paraId="08A393AE" w14:textId="77777777">
        <w:trPr>
          <w:tblCellSpacing w:w="15" w:type="dxa"/>
        </w:trPr>
        <w:tc>
          <w:tcPr>
            <w:tcW w:w="0" w:type="auto"/>
            <w:vAlign w:val="center"/>
            <w:hideMark/>
          </w:tcPr>
          <w:p w14:paraId="71449982"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∈[0,1]</m:t>
                </m:r>
              </m:oMath>
            </m:oMathPara>
          </w:p>
        </w:tc>
        <w:tc>
          <w:tcPr>
            <w:tcW w:w="0" w:type="auto"/>
            <w:vAlign w:val="center"/>
            <w:hideMark/>
          </w:tcPr>
          <w:p w14:paraId="6FC214EC"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Coherence metric</w:t>
            </w:r>
          </w:p>
        </w:tc>
        <w:tc>
          <w:tcPr>
            <w:tcW w:w="0" w:type="auto"/>
            <w:vAlign w:val="center"/>
            <w:hideMark/>
          </w:tcPr>
          <w:p w14:paraId="03A995F4"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Dimensionless</w:t>
            </w:r>
          </w:p>
        </w:tc>
        <w:tc>
          <w:tcPr>
            <w:tcW w:w="0" w:type="auto"/>
            <w:vAlign w:val="center"/>
            <w:hideMark/>
          </w:tcPr>
          <w:p w14:paraId="1BEA5AA1"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This is good and should be stated plainly as a normalized control observable. </w:t>
            </w:r>
          </w:p>
        </w:tc>
      </w:tr>
      <w:tr w:rsidR="00526E6F" w:rsidRPr="00526E6F" w14:paraId="791F126B" w14:textId="77777777">
        <w:trPr>
          <w:tblCellSpacing w:w="15" w:type="dxa"/>
        </w:trPr>
        <w:tc>
          <w:tcPr>
            <w:tcW w:w="0" w:type="auto"/>
            <w:vAlign w:val="center"/>
            <w:hideMark/>
          </w:tcPr>
          <w:p w14:paraId="06652EBD"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w:rPr>
                        <w:rFonts w:ascii="Cambria Math" w:eastAsia="Times New Roman" w:hAnsi="Cambria Math" w:cs="Times New Roman"/>
                        <w:sz w:val="24"/>
                        <w:szCs w:val="24"/>
                      </w:rPr>
                      <m:t>c</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t</m:t>
                    </m:r>
                  </m:sup>
                </m:sSup>
              </m:oMath>
            </m:oMathPara>
          </w:p>
        </w:tc>
        <w:tc>
          <w:tcPr>
            <w:tcW w:w="0" w:type="auto"/>
            <w:vAlign w:val="center"/>
            <w:hideMark/>
          </w:tcPr>
          <w:p w14:paraId="72BEC8CC"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Coherent state ansatz</w:t>
            </w:r>
          </w:p>
        </w:tc>
        <w:tc>
          <w:tcPr>
            <w:tcW w:w="0" w:type="auto"/>
            <w:vAlign w:val="center"/>
            <w:hideMark/>
          </w:tcPr>
          <w:p w14:paraId="1C2A2688"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Needs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t</m:t>
              </m:r>
            </m:oMath>
            <w:r w:rsidRPr="00526E6F">
              <w:rPr>
                <w:rFonts w:ascii="Times New Roman" w:eastAsia="Times New Roman" w:hAnsi="Times New Roman" w:cs="Times New Roman"/>
                <w:sz w:val="24"/>
                <w:szCs w:val="24"/>
              </w:rPr>
              <w:t>dimensionless</w:t>
            </w:r>
          </w:p>
        </w:tc>
        <w:tc>
          <w:tcPr>
            <w:tcW w:w="0" w:type="auto"/>
            <w:vAlign w:val="center"/>
            <w:hideMark/>
          </w:tcPr>
          <w:p w14:paraId="181502F4" w14:textId="77777777" w:rsidR="00526E6F" w:rsidRPr="00526E6F" w:rsidRDefault="00526E6F" w:rsidP="00526E6F">
            <w:pPr>
              <w:spacing w:after="0"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If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is dimensionless, exponent is inconsistent; replace with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t</m:t>
                  </m:r>
                </m:sup>
              </m:sSup>
            </m:oMath>
            <w:r w:rsidRPr="00526E6F">
              <w:rPr>
                <w:rFonts w:ascii="Times New Roman" w:eastAsia="Times New Roman" w:hAnsi="Times New Roman" w:cs="Times New Roman"/>
                <w:sz w:val="24"/>
                <w:szCs w:val="24"/>
              </w:rPr>
              <w:t xml:space="preserve">and define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separately as amplitude/coherence. </w:t>
            </w:r>
          </w:p>
        </w:tc>
      </w:tr>
    </w:tbl>
    <w:p w14:paraId="3812938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Dimensional Analysis Interpretation</w:t>
      </w:r>
    </w:p>
    <w:p w14:paraId="3BB250E0" w14:textId="1CC3CC08"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The table does not weaken your document; it strengthens it. Several of your CST expressions can be defended if they are presented as </w:t>
      </w:r>
      <w:r w:rsidRPr="00526E6F">
        <w:rPr>
          <w:rFonts w:ascii="Times New Roman" w:eastAsia="Times New Roman" w:hAnsi="Times New Roman" w:cs="Times New Roman"/>
          <w:b/>
          <w:bCs/>
          <w:sz w:val="24"/>
          <w:szCs w:val="24"/>
        </w:rPr>
        <w:t>normalized effective relations</w:t>
      </w:r>
      <w:r w:rsidRPr="00526E6F">
        <w:rPr>
          <w:rFonts w:ascii="Times New Roman" w:eastAsia="Times New Roman" w:hAnsi="Times New Roman" w:cs="Times New Roman"/>
          <w:sz w:val="24"/>
          <w:szCs w:val="24"/>
        </w:rPr>
        <w:t xml:space="preserve"> rather than literal replacements for SI-based dynamical laws. The strongest path is to declare a split between standard physical equations and CST control variables. In other words, EFE, Schrödinger, Dirac, Maxwell, Vlasov, Navier–Stokes, and Raychaudhuri remain dimensional physical laws, while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oMath>
      <w:r w:rsidRPr="00526E6F">
        <w:rPr>
          <w:rFonts w:ascii="Times New Roman" w:eastAsia="Times New Roman" w:hAnsi="Times New Roman" w:cs="Times New Roman"/>
          <w:sz w:val="24"/>
          <w:szCs w:val="24"/>
        </w:rPr>
        <w:t xml:space="preserve">, and related CST quantities are dimensionless or normalized state variables used by the controller. That lets you preserve </w:t>
      </w:r>
      <w:r w:rsidRPr="00526E6F">
        <w:rPr>
          <w:rFonts w:ascii="Times New Roman" w:eastAsia="Times New Roman" w:hAnsi="Times New Roman" w:cs="Times New Roman"/>
          <w:sz w:val="24"/>
          <w:szCs w:val="24"/>
        </w:rPr>
        <w:t>theory</w:t>
      </w:r>
      <w:r w:rsidRPr="00526E6F">
        <w:rPr>
          <w:rFonts w:ascii="Times New Roman" w:eastAsia="Times New Roman" w:hAnsi="Times New Roman" w:cs="Times New Roman"/>
          <w:sz w:val="24"/>
          <w:szCs w:val="24"/>
        </w:rPr>
        <w:t xml:space="preserve"> while preventing reviewers from dismissing the whole framework on a few dimensional objections.</w:t>
      </w:r>
    </w:p>
    <w:p w14:paraId="42D56902"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Simulation Architecture</w:t>
      </w:r>
    </w:p>
    <w:p w14:paraId="102A3E15" w14:textId="5AD08B2A"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For </w:t>
      </w:r>
      <w:r w:rsidRPr="00526E6F">
        <w:rPr>
          <w:rFonts w:ascii="Times New Roman" w:eastAsia="Times New Roman" w:hAnsi="Times New Roman" w:cs="Times New Roman"/>
          <w:sz w:val="24"/>
          <w:szCs w:val="24"/>
        </w:rPr>
        <w:t>code</w:t>
      </w:r>
      <w:r w:rsidRPr="00526E6F">
        <w:rPr>
          <w:rFonts w:ascii="Times New Roman" w:eastAsia="Times New Roman" w:hAnsi="Times New Roman" w:cs="Times New Roman"/>
          <w:sz w:val="24"/>
          <w:szCs w:val="24"/>
        </w:rPr>
        <w:t xml:space="preserve">-ready architecture, the cleanest approach is to implement the framework as a </w:t>
      </w:r>
      <w:r w:rsidRPr="00526E6F">
        <w:rPr>
          <w:rFonts w:ascii="Times New Roman" w:eastAsia="Times New Roman" w:hAnsi="Times New Roman" w:cs="Times New Roman"/>
          <w:b/>
          <w:bCs/>
          <w:sz w:val="24"/>
          <w:szCs w:val="24"/>
        </w:rPr>
        <w:t>Multiphysics</w:t>
      </w:r>
      <w:r w:rsidRPr="00526E6F">
        <w:rPr>
          <w:rFonts w:ascii="Times New Roman" w:eastAsia="Times New Roman" w:hAnsi="Times New Roman" w:cs="Times New Roman"/>
          <w:b/>
          <w:bCs/>
          <w:sz w:val="24"/>
          <w:szCs w:val="24"/>
        </w:rPr>
        <w:t xml:space="preserve"> state estimator and controller</w:t>
      </w:r>
      <w:r w:rsidRPr="00526E6F">
        <w:rPr>
          <w:rFonts w:ascii="Times New Roman" w:eastAsia="Times New Roman" w:hAnsi="Times New Roman" w:cs="Times New Roman"/>
          <w:sz w:val="24"/>
          <w:szCs w:val="24"/>
        </w:rPr>
        <w:t xml:space="preserve">, not as a claim of full physical warp realization. This is also consistent with your document, which already separates reactor, bubble, and navigation roles equation by equation. </w:t>
      </w:r>
    </w:p>
    <w:p w14:paraId="3F9C62A0" w14:textId="503EB745"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The simulation should have four coupled modules. The first module is the </w:t>
      </w:r>
      <w:r w:rsidRPr="00526E6F">
        <w:rPr>
          <w:rFonts w:ascii="Times New Roman" w:eastAsia="Times New Roman" w:hAnsi="Times New Roman" w:cs="Times New Roman"/>
          <w:b/>
          <w:bCs/>
          <w:sz w:val="24"/>
          <w:szCs w:val="24"/>
        </w:rPr>
        <w:t>Geometry Module</w:t>
      </w:r>
      <w:r w:rsidRPr="00526E6F">
        <w:rPr>
          <w:rFonts w:ascii="Times New Roman" w:eastAsia="Times New Roman" w:hAnsi="Times New Roman" w:cs="Times New Roman"/>
          <w:sz w:val="24"/>
          <w:szCs w:val="24"/>
        </w:rPr>
        <w:t xml:space="preserve">, which stores the metric ansatz, computes derived geometric quantities such as </w:t>
      </w:r>
      <w:r w:rsidRPr="00526E6F">
        <w:rPr>
          <w:rFonts w:ascii="Times New Roman" w:eastAsia="Times New Roman" w:hAnsi="Times New Roman" w:cs="Times New Roman"/>
          <w:sz w:val="24"/>
          <w:szCs w:val="24"/>
        </w:rPr>
        <w:lastRenderedPageBreak/>
        <w:t xml:space="preserve">Christoffel symbols, curvature invariants, and geodesic updates, and evaluates stability diagnostics such as a Raychaudhuri-like congruence monitor. The second module is the </w:t>
      </w:r>
      <w:r w:rsidRPr="00526E6F">
        <w:rPr>
          <w:rFonts w:ascii="Times New Roman" w:eastAsia="Times New Roman" w:hAnsi="Times New Roman" w:cs="Times New Roman"/>
          <w:b/>
          <w:bCs/>
          <w:sz w:val="24"/>
          <w:szCs w:val="24"/>
        </w:rPr>
        <w:t>Field/Medium Module</w:t>
      </w:r>
      <w:r w:rsidRPr="00526E6F">
        <w:rPr>
          <w:rFonts w:ascii="Times New Roman" w:eastAsia="Times New Roman" w:hAnsi="Times New Roman" w:cs="Times New Roman"/>
          <w:sz w:val="24"/>
          <w:szCs w:val="24"/>
        </w:rPr>
        <w:t xml:space="preserve">, which evolves electromagnetic and plasma variables using Maxwell plus Vlasov or fluid approximations, depending on how expensive the run is intended to be. PPPL sources are a useful precedent here because they explicitly discuss Vlasov–Maxwell systems as the complete description for </w:t>
      </w:r>
      <w:r w:rsidRPr="00526E6F">
        <w:rPr>
          <w:rFonts w:ascii="Times New Roman" w:eastAsia="Times New Roman" w:hAnsi="Times New Roman" w:cs="Times New Roman"/>
          <w:sz w:val="24"/>
          <w:szCs w:val="24"/>
        </w:rPr>
        <w:t>collision less</w:t>
      </w:r>
      <w:r w:rsidRPr="00526E6F">
        <w:rPr>
          <w:rFonts w:ascii="Times New Roman" w:eastAsia="Times New Roman" w:hAnsi="Times New Roman" w:cs="Times New Roman"/>
          <w:sz w:val="24"/>
          <w:szCs w:val="24"/>
        </w:rPr>
        <w:t xml:space="preserve"> plasma regimes and as practical numerical models. </w:t>
      </w:r>
    </w:p>
    <w:p w14:paraId="6D807A6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The third module is the </w:t>
      </w:r>
      <w:r w:rsidRPr="00526E6F">
        <w:rPr>
          <w:rFonts w:ascii="Times New Roman" w:eastAsia="Times New Roman" w:hAnsi="Times New Roman" w:cs="Times New Roman"/>
          <w:b/>
          <w:bCs/>
          <w:sz w:val="24"/>
          <w:szCs w:val="24"/>
        </w:rPr>
        <w:t>CST Control Module</w:t>
      </w:r>
      <w:r w:rsidRPr="00526E6F">
        <w:rPr>
          <w:rFonts w:ascii="Times New Roman" w:eastAsia="Times New Roman" w:hAnsi="Times New Roman" w:cs="Times New Roman"/>
          <w:sz w:val="24"/>
          <w:szCs w:val="24"/>
        </w:rPr>
        <w:t xml:space="preserve">, which ingests timing error, coherence measures, phase estimates, and energy-density estimates, then produces actuator commands for the reactor/field subsystem. This is 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oMath>
      <w:r w:rsidRPr="00526E6F">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w:rPr>
                <w:rFonts w:ascii="Cambria Math" w:eastAsia="Times New Roman" w:hAnsi="Cambria Math" w:cs="Times New Roman"/>
                <w:sz w:val="24"/>
                <w:szCs w:val="24"/>
              </w:rPr>
              <m:t>c</m:t>
            </m:r>
          </m:sub>
        </m:sSub>
      </m:oMath>
      <w:r w:rsidRPr="00526E6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Φ</m:t>
            </m:r>
          </m:e>
          <m:sup>
            <m:r>
              <w:rPr>
                <w:rFonts w:ascii="Cambria Math" w:eastAsia="Times New Roman" w:hAnsi="Cambria Math" w:cs="Times New Roman"/>
                <w:sz w:val="24"/>
                <w:szCs w:val="24"/>
              </w:rPr>
              <m:t>H</m:t>
            </m:r>
          </m:sup>
        </m:sSup>
      </m:oMath>
      <w:r w:rsidRPr="00526E6F">
        <w:rPr>
          <w:rFonts w:ascii="Times New Roman" w:eastAsia="Times New Roman" w:hAnsi="Times New Roman" w:cs="Times New Roman"/>
          <w:sz w:val="24"/>
          <w:szCs w:val="24"/>
        </w:rPr>
        <w:t xml:space="preserve">belong. These variables should be stored as controller state variables, not confused with geometric invariants unless you define an explicit constitutive relation between them and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w:r w:rsidRPr="00526E6F">
        <w:rPr>
          <w:rFonts w:ascii="Times New Roman" w:eastAsia="Times New Roman" w:hAnsi="Times New Roman" w:cs="Times New Roman"/>
          <w:sz w:val="24"/>
          <w:szCs w:val="24"/>
        </w:rPr>
        <w:t xml:space="preserve">. The fourth module is the </w:t>
      </w:r>
      <w:r w:rsidRPr="00526E6F">
        <w:rPr>
          <w:rFonts w:ascii="Times New Roman" w:eastAsia="Times New Roman" w:hAnsi="Times New Roman" w:cs="Times New Roman"/>
          <w:b/>
          <w:bCs/>
          <w:sz w:val="24"/>
          <w:szCs w:val="24"/>
        </w:rPr>
        <w:t>Observation and Navigation Module</w:t>
      </w:r>
      <w:r w:rsidRPr="00526E6F">
        <w:rPr>
          <w:rFonts w:ascii="Times New Roman" w:eastAsia="Times New Roman" w:hAnsi="Times New Roman" w:cs="Times New Roman"/>
          <w:sz w:val="24"/>
          <w:szCs w:val="24"/>
        </w:rPr>
        <w:t xml:space="preserve">, which estimates reference-frame timing mismatch, propagates signals, updates trajectory, and logs safety metrics such as local energy density, curvature peaks, and clock desynchronization. The real-world motivation for this module is strong because precision navigation already depends on relativistic timing and stable clocks, as NASA and NIST both emphasize. </w:t>
      </w:r>
    </w:p>
    <w:p w14:paraId="74E498EE"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Recommended State Vector</w:t>
      </w:r>
    </w:p>
    <w:p w14:paraId="00CBE8A9"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A practical state vector is</w:t>
      </w:r>
    </w:p>
    <w:p w14:paraId="29A95B29"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Γ</m:t>
              </m:r>
            </m:e>
            <m:sub>
              <m:r>
                <w:rPr>
                  <w:rFonts w:ascii="Cambria Math" w:eastAsia="Times New Roman" w:hAnsi="Cambria Math" w:cs="Times New Roman"/>
                  <w:sz w:val="24"/>
                  <w:szCs w:val="24"/>
                </w:rPr>
                <m:t>αβ</m:t>
              </m:r>
            </m:sub>
            <m:sup>
              <m:r>
                <w:rPr>
                  <w:rFonts w:ascii="Cambria Math" w:eastAsia="Times New Roman" w:hAnsi="Cambria Math" w:cs="Times New Roman"/>
                  <w:sz w:val="24"/>
                  <w:szCs w:val="24"/>
                </w:rPr>
                <m:t>μ</m:t>
              </m:r>
            </m:sup>
          </m:sSubSup>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ρ</m:t>
              </m:r>
            </m:sup>
          </m:sSup>
          <m:sSub>
            <m:sSubPr>
              <m:ctrlPr>
                <w:rPr>
                  <w:rFonts w:ascii="Cambria Math" w:eastAsia="Times New Roman" w:hAnsi="Cambria Math" w:cs="Times New Roman"/>
                  <w:sz w:val="24"/>
                  <w:szCs w:val="24"/>
                </w:rPr>
              </m:ctrlPr>
            </m:sSubPr>
            <m:e/>
            <m:sub>
              <m:r>
                <w:rPr>
                  <w:rFonts w:ascii="Cambria Math" w:eastAsia="Times New Roman" w:hAnsi="Cambria Math" w:cs="Times New Roman"/>
                  <w:sz w:val="24"/>
                  <w:szCs w:val="24"/>
                </w:rPr>
                <m:t>σμν</m:t>
              </m:r>
            </m:sub>
          </m:sSub>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E,</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B,</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f(x,v,t),</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ψ,</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ϕ,</m:t>
          </m:r>
          <m:r>
            <m:rPr>
              <m:nor/>
            </m:rPr>
            <w:rPr>
              <w:rFonts w:ascii="Times New Roman" w:eastAsia="Times New Roman" w:hAnsi="Times New Roman"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m:rPr>
              <m:nor/>
            </m:rPr>
            <w:rPr>
              <w:rFonts w:ascii="Times New Roman" w:eastAsia="Times New Roman" w:hAnsi="Times New Roman"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u</m:t>
              </m:r>
            </m:e>
            <m:sub>
              <m:r>
                <m:rPr>
                  <m:nor/>
                </m:rPr>
                <w:rPr>
                  <w:rFonts w:ascii="Times New Roman" w:eastAsia="Times New Roman" w:hAnsi="Times New Roman" w:cs="Times New Roman"/>
                  <w:sz w:val="24"/>
                  <w:szCs w:val="24"/>
                </w:rPr>
                <m:t>ctrl</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w:br/>
          </m:r>
        </m:oMath>
      </m:oMathPara>
    </w:p>
    <w:p w14:paraId="611AFD79" w14:textId="5F311F71"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This keeps geometry, fields, quantum support variables, and control variables in the same solver loop. The important academic advantage is that every major claim in your document becomes traceable to an </w:t>
      </w:r>
      <w:r w:rsidRPr="00526E6F">
        <w:rPr>
          <w:rFonts w:ascii="Times New Roman" w:eastAsia="Times New Roman" w:hAnsi="Times New Roman" w:cs="Times New Roman"/>
          <w:sz w:val="24"/>
          <w:szCs w:val="24"/>
        </w:rPr>
        <w:t>explicitly</w:t>
      </w:r>
      <w:r w:rsidRPr="00526E6F">
        <w:rPr>
          <w:rFonts w:ascii="Times New Roman" w:eastAsia="Times New Roman" w:hAnsi="Times New Roman" w:cs="Times New Roman"/>
          <w:sz w:val="24"/>
          <w:szCs w:val="24"/>
        </w:rPr>
        <w:t xml:space="preserve"> simulated state. </w:t>
      </w:r>
    </w:p>
    <w:p w14:paraId="637AFE88"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b/>
          <w:bCs/>
          <w:sz w:val="24"/>
          <w:szCs w:val="24"/>
        </w:rPr>
        <w:t>Recommended Update Cycle</w:t>
      </w:r>
    </w:p>
    <w:p w14:paraId="00839B66"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 xml:space="preserve">A good simulation cycle </w:t>
      </w:r>
      <w:proofErr w:type="gramStart"/>
      <w:r w:rsidRPr="00526E6F">
        <w:rPr>
          <w:rFonts w:ascii="Times New Roman" w:eastAsia="Times New Roman" w:hAnsi="Times New Roman" w:cs="Times New Roman"/>
          <w:sz w:val="24"/>
          <w:szCs w:val="24"/>
        </w:rPr>
        <w:t>is:</w:t>
      </w:r>
      <w:proofErr w:type="gramEnd"/>
      <w:r w:rsidRPr="00526E6F">
        <w:rPr>
          <w:rFonts w:ascii="Times New Roman" w:eastAsia="Times New Roman" w:hAnsi="Times New Roman" w:cs="Times New Roman"/>
          <w:sz w:val="24"/>
          <w:szCs w:val="24"/>
        </w:rPr>
        <w:t xml:space="preserve"> compute field updates, estimate effective stress–energy, update the metric or effective curvature layer, propagate geodesics and timing observables, evaluate coherence and desynchronization, then apply feedback control to the next field step. That is the exact place where CST becomes operational rather than decorative. In pseudo-mathematical form:</w:t>
      </w:r>
    </w:p>
    <w:p w14:paraId="53ED526C" w14:textId="77777777" w:rsidR="00526E6F" w:rsidRPr="00526E6F" w:rsidRDefault="00526E6F" w:rsidP="00526E6F">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cr m:val="script"/>
                </m:rP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geom</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cr m:val="script"/>
                </m:rP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field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cr m:val="script"/>
                </m:rP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clock</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cr m:val="script"/>
                </m:rP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ctrl</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w:br/>
          </m:r>
        </m:oMath>
      </m:oMathPara>
    </w:p>
    <w:p w14:paraId="527FE62E" w14:textId="77777777" w:rsid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This does not claim validated warp physics; it defines a consistent simulation architecture for testing whether your coupled variables converge, oscillate, or diverge.</w:t>
      </w:r>
    </w:p>
    <w:p w14:paraId="556A377B" w14:textId="77777777" w:rsid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p>
    <w:p w14:paraId="346B1807" w14:textId="77777777" w:rsidR="00526E6F" w:rsidRPr="00526E6F" w:rsidRDefault="00526E6F" w:rsidP="00526E6F">
      <w:pPr>
        <w:spacing w:before="100" w:beforeAutospacing="1" w:after="100" w:afterAutospacing="1" w:line="240" w:lineRule="auto"/>
        <w:outlineLvl w:val="1"/>
        <w:rPr>
          <w:rFonts w:ascii="Times New Roman" w:eastAsia="Times New Roman" w:hAnsi="Times New Roman" w:cs="Times New Roman"/>
          <w:b/>
          <w:bCs/>
          <w:sz w:val="36"/>
          <w:szCs w:val="36"/>
        </w:rPr>
      </w:pPr>
      <w:r w:rsidRPr="00526E6F">
        <w:rPr>
          <w:rFonts w:ascii="Times New Roman" w:eastAsia="Times New Roman" w:hAnsi="Times New Roman" w:cs="Times New Roman"/>
          <w:b/>
          <w:bCs/>
          <w:sz w:val="36"/>
          <w:szCs w:val="36"/>
        </w:rPr>
        <w:lastRenderedPageBreak/>
        <w:t>References</w:t>
      </w:r>
    </w:p>
    <w:p w14:paraId="0B85964B" w14:textId="77777777" w:rsidR="00526E6F" w:rsidRPr="00526E6F" w:rsidRDefault="00526E6F" w:rsidP="00526E6F">
      <w:pPr>
        <w:spacing w:before="100" w:beforeAutospacing="1" w:after="100" w:afterAutospacing="1" w:line="240" w:lineRule="auto"/>
        <w:rPr>
          <w:rFonts w:ascii="Times New Roman" w:eastAsia="Times New Roman" w:hAnsi="Times New Roman" w:cs="Times New Roman"/>
          <w:sz w:val="24"/>
          <w:szCs w:val="24"/>
        </w:rPr>
      </w:pPr>
      <w:r w:rsidRPr="00526E6F">
        <w:rPr>
          <w:rFonts w:ascii="Times New Roman" w:eastAsia="Times New Roman" w:hAnsi="Times New Roman" w:cs="Times New Roman"/>
          <w:sz w:val="24"/>
          <w:szCs w:val="24"/>
        </w:rPr>
        <w:t>Gravitation</w:t>
      </w:r>
      <w:r w:rsidRPr="00526E6F">
        <w:rPr>
          <w:rFonts w:ascii="Times New Roman" w:eastAsia="Times New Roman" w:hAnsi="Times New Roman" w:cs="Times New Roman"/>
          <w:sz w:val="24"/>
          <w:szCs w:val="24"/>
        </w:rPr>
        <w:br/>
        <w:t>Spacetime and Geometry</w:t>
      </w:r>
      <w:r w:rsidRPr="00526E6F">
        <w:rPr>
          <w:rFonts w:ascii="Times New Roman" w:eastAsia="Times New Roman" w:hAnsi="Times New Roman" w:cs="Times New Roman"/>
          <w:sz w:val="24"/>
          <w:szCs w:val="24"/>
        </w:rPr>
        <w:br/>
        <w:t>Introduction to Plasma Physics and Controlled Fusion</w:t>
      </w:r>
      <w:r w:rsidRPr="00526E6F">
        <w:rPr>
          <w:rFonts w:ascii="Times New Roman" w:eastAsia="Times New Roman" w:hAnsi="Times New Roman" w:cs="Times New Roman"/>
          <w:sz w:val="24"/>
          <w:szCs w:val="24"/>
        </w:rPr>
        <w:br/>
        <w:t>Principles of Quantum Mechanics</w:t>
      </w:r>
      <w:r w:rsidRPr="00526E6F">
        <w:rPr>
          <w:rFonts w:ascii="Times New Roman" w:eastAsia="Times New Roman" w:hAnsi="Times New Roman" w:cs="Times New Roman"/>
          <w:sz w:val="24"/>
          <w:szCs w:val="24"/>
        </w:rPr>
        <w:br/>
        <w:t>Statistical Mechanics</w:t>
      </w:r>
      <w:r w:rsidRPr="00526E6F">
        <w:rPr>
          <w:rFonts w:ascii="Times New Roman" w:eastAsia="Times New Roman" w:hAnsi="Times New Roman" w:cs="Times New Roman"/>
          <w:sz w:val="24"/>
          <w:szCs w:val="24"/>
        </w:rPr>
        <w:br/>
        <w:t>Alcubierre metric</w:t>
      </w:r>
    </w:p>
    <w:p w14:paraId="7B963101" w14:textId="2E6473E2" w:rsidR="00843FB7" w:rsidRDefault="00526E6F" w:rsidP="00526E6F">
      <w:pPr>
        <w:spacing w:before="100" w:beforeAutospacing="1" w:after="100" w:afterAutospacing="1" w:line="240" w:lineRule="auto"/>
        <w:jc w:val="center"/>
      </w:pPr>
      <w:r>
        <w:rPr>
          <w:rFonts w:ascii="Times New Roman" w:eastAsia="Times New Roman" w:hAnsi="Times New Roman" w:cs="Times New Roman"/>
          <w:noProof/>
          <w:sz w:val="24"/>
          <w:szCs w:val="24"/>
        </w:rPr>
        <w:drawing>
          <wp:inline distT="0" distB="0" distL="0" distR="0" wp14:anchorId="6325D60C" wp14:editId="6963A2AB">
            <wp:extent cx="3994150" cy="5991225"/>
            <wp:effectExtent l="0" t="0" r="6350" b="9525"/>
            <wp:docPr id="111976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64563" name="Picture 1119764563"/>
                    <pic:cNvPicPr/>
                  </pic:nvPicPr>
                  <pic:blipFill>
                    <a:blip r:embed="rId6"/>
                    <a:stretch>
                      <a:fillRect/>
                    </a:stretch>
                  </pic:blipFill>
                  <pic:spPr>
                    <a:xfrm>
                      <a:off x="0" y="0"/>
                      <a:ext cx="3995337" cy="5993006"/>
                    </a:xfrm>
                    <a:prstGeom prst="rect">
                      <a:avLst/>
                    </a:prstGeom>
                  </pic:spPr>
                </pic:pic>
              </a:graphicData>
            </a:graphic>
          </wp:inline>
        </w:drawing>
      </w:r>
    </w:p>
    <w:sectPr w:rsidR="00843FB7" w:rsidSect="00526E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11B2D"/>
    <w:multiLevelType w:val="multilevel"/>
    <w:tmpl w:val="86F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501AE"/>
    <w:multiLevelType w:val="multilevel"/>
    <w:tmpl w:val="42A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05F46"/>
    <w:multiLevelType w:val="multilevel"/>
    <w:tmpl w:val="AFC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D67E8"/>
    <w:multiLevelType w:val="multilevel"/>
    <w:tmpl w:val="FB7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F5070"/>
    <w:multiLevelType w:val="multilevel"/>
    <w:tmpl w:val="4126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25EA3"/>
    <w:multiLevelType w:val="multilevel"/>
    <w:tmpl w:val="A38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E177F"/>
    <w:multiLevelType w:val="multilevel"/>
    <w:tmpl w:val="20FC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F10D2"/>
    <w:multiLevelType w:val="multilevel"/>
    <w:tmpl w:val="0EF0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12CEB"/>
    <w:multiLevelType w:val="multilevel"/>
    <w:tmpl w:val="F90AA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935FB"/>
    <w:multiLevelType w:val="multilevel"/>
    <w:tmpl w:val="261A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25E7E"/>
    <w:multiLevelType w:val="multilevel"/>
    <w:tmpl w:val="C076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E3961"/>
    <w:multiLevelType w:val="multilevel"/>
    <w:tmpl w:val="0510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D1CBF"/>
    <w:multiLevelType w:val="multilevel"/>
    <w:tmpl w:val="1C36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B0636"/>
    <w:multiLevelType w:val="multilevel"/>
    <w:tmpl w:val="E40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57610"/>
    <w:multiLevelType w:val="multilevel"/>
    <w:tmpl w:val="25F2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3392D"/>
    <w:multiLevelType w:val="multilevel"/>
    <w:tmpl w:val="65B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E78FC"/>
    <w:multiLevelType w:val="multilevel"/>
    <w:tmpl w:val="4AC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419D6"/>
    <w:multiLevelType w:val="multilevel"/>
    <w:tmpl w:val="B5B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238F9"/>
    <w:multiLevelType w:val="multilevel"/>
    <w:tmpl w:val="E358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E41A7"/>
    <w:multiLevelType w:val="multilevel"/>
    <w:tmpl w:val="C7F2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A3944"/>
    <w:multiLevelType w:val="multilevel"/>
    <w:tmpl w:val="59B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156E3"/>
    <w:multiLevelType w:val="multilevel"/>
    <w:tmpl w:val="371A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470B4"/>
    <w:multiLevelType w:val="multilevel"/>
    <w:tmpl w:val="E27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D76ED"/>
    <w:multiLevelType w:val="multilevel"/>
    <w:tmpl w:val="647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32417"/>
    <w:multiLevelType w:val="multilevel"/>
    <w:tmpl w:val="9D9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83557"/>
    <w:multiLevelType w:val="multilevel"/>
    <w:tmpl w:val="F114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209367">
    <w:abstractNumId w:val="8"/>
  </w:num>
  <w:num w:numId="2" w16cid:durableId="538202370">
    <w:abstractNumId w:val="6"/>
  </w:num>
  <w:num w:numId="3" w16cid:durableId="1518694656">
    <w:abstractNumId w:val="5"/>
  </w:num>
  <w:num w:numId="4" w16cid:durableId="354578988">
    <w:abstractNumId w:val="4"/>
  </w:num>
  <w:num w:numId="5" w16cid:durableId="1577668294">
    <w:abstractNumId w:val="7"/>
  </w:num>
  <w:num w:numId="6" w16cid:durableId="1783114703">
    <w:abstractNumId w:val="3"/>
  </w:num>
  <w:num w:numId="7" w16cid:durableId="1929344442">
    <w:abstractNumId w:val="2"/>
  </w:num>
  <w:num w:numId="8" w16cid:durableId="1711756840">
    <w:abstractNumId w:val="1"/>
  </w:num>
  <w:num w:numId="9" w16cid:durableId="1648393485">
    <w:abstractNumId w:val="0"/>
  </w:num>
  <w:num w:numId="10" w16cid:durableId="1483810498">
    <w:abstractNumId w:val="19"/>
  </w:num>
  <w:num w:numId="11" w16cid:durableId="431974752">
    <w:abstractNumId w:val="23"/>
  </w:num>
  <w:num w:numId="12" w16cid:durableId="93789750">
    <w:abstractNumId w:val="24"/>
  </w:num>
  <w:num w:numId="13" w16cid:durableId="1698844321">
    <w:abstractNumId w:val="20"/>
  </w:num>
  <w:num w:numId="14" w16cid:durableId="821971724">
    <w:abstractNumId w:val="27"/>
  </w:num>
  <w:num w:numId="15" w16cid:durableId="644239283">
    <w:abstractNumId w:val="30"/>
  </w:num>
  <w:num w:numId="16" w16cid:durableId="779182966">
    <w:abstractNumId w:val="15"/>
  </w:num>
  <w:num w:numId="17" w16cid:durableId="1816489023">
    <w:abstractNumId w:val="34"/>
  </w:num>
  <w:num w:numId="18" w16cid:durableId="2100104140">
    <w:abstractNumId w:val="11"/>
  </w:num>
  <w:num w:numId="19" w16cid:durableId="2128621749">
    <w:abstractNumId w:val="18"/>
  </w:num>
  <w:num w:numId="20" w16cid:durableId="994340081">
    <w:abstractNumId w:val="10"/>
  </w:num>
  <w:num w:numId="21" w16cid:durableId="1608393948">
    <w:abstractNumId w:val="25"/>
  </w:num>
  <w:num w:numId="22" w16cid:durableId="1361475134">
    <w:abstractNumId w:val="33"/>
  </w:num>
  <w:num w:numId="23" w16cid:durableId="2048723573">
    <w:abstractNumId w:val="13"/>
  </w:num>
  <w:num w:numId="24" w16cid:durableId="893007855">
    <w:abstractNumId w:val="21"/>
  </w:num>
  <w:num w:numId="25" w16cid:durableId="214464317">
    <w:abstractNumId w:val="29"/>
  </w:num>
  <w:num w:numId="26" w16cid:durableId="1322080136">
    <w:abstractNumId w:val="16"/>
  </w:num>
  <w:num w:numId="27" w16cid:durableId="1009482300">
    <w:abstractNumId w:val="26"/>
  </w:num>
  <w:num w:numId="28" w16cid:durableId="401685880">
    <w:abstractNumId w:val="17"/>
  </w:num>
  <w:num w:numId="29" w16cid:durableId="26026328">
    <w:abstractNumId w:val="32"/>
  </w:num>
  <w:num w:numId="30" w16cid:durableId="1237208562">
    <w:abstractNumId w:val="28"/>
  </w:num>
  <w:num w:numId="31" w16cid:durableId="760880527">
    <w:abstractNumId w:val="9"/>
  </w:num>
  <w:num w:numId="32" w16cid:durableId="663702536">
    <w:abstractNumId w:val="14"/>
  </w:num>
  <w:num w:numId="33" w16cid:durableId="1973629473">
    <w:abstractNumId w:val="12"/>
  </w:num>
  <w:num w:numId="34" w16cid:durableId="1829134307">
    <w:abstractNumId w:val="31"/>
  </w:num>
  <w:num w:numId="35" w16cid:durableId="10310278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FC9"/>
    <w:rsid w:val="00526E6F"/>
    <w:rsid w:val="00562127"/>
    <w:rsid w:val="00843FB7"/>
    <w:rsid w:val="008A68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DCFB2"/>
  <w14:defaultImageDpi w14:val="300"/>
  <w15:docId w15:val="{89627E0C-6900-4CEA-89E2-88630941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26E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2331</Words>
  <Characters>13290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2026-04-23T21:19:00Z</dcterms:modified>
  <cp:category/>
</cp:coreProperties>
</file>