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5B9B2B" w14:textId="0845E9DF" w:rsidR="00F20F4F" w:rsidRDefault="00F20F4F" w:rsidP="00F20F4F">
      <w:pPr>
        <w:pStyle w:val="NormalWeb"/>
      </w:pPr>
      <w:r>
        <w:t xml:space="preserve">Geophysical and </w:t>
      </w:r>
      <w:r>
        <w:t>Archeoastronomy</w:t>
      </w:r>
      <w:r>
        <w:t xml:space="preserve"> Assessment of a Submerged Atlantic Site Using Plate Kinematics, Post-Glacial Sea-Level Rise, and Astronomical Back-Projection</w:t>
      </w:r>
    </w:p>
    <w:p w14:paraId="495C79DE" w14:textId="77777777" w:rsidR="00F20F4F" w:rsidRDefault="00F20F4F" w:rsidP="00F20F4F">
      <w:pPr>
        <w:pStyle w:val="NormalWeb"/>
      </w:pPr>
      <w:r>
        <w:t>Author: Gabino Casanova — Independent Innovator</w:t>
      </w:r>
    </w:p>
    <w:p w14:paraId="7BBC0ACB" w14:textId="3060A023" w:rsidR="00F20F4F" w:rsidRDefault="00F20F4F" w:rsidP="00F20F4F">
      <w:pPr>
        <w:pStyle w:val="NormalWeb"/>
      </w:pPr>
      <w:r>
        <w:t>Abstract</w:t>
      </w:r>
      <w:r>
        <w:br/>
        <w:t xml:space="preserve">This paper examines the hypothesis that a submerged landform near the Strait of Gibraltar corresponds to the historical construct commonly referred to as Atlantis. The analysis integrates late Pleistocene and early Holocene sea-level rise, regional plate tectonics, sediment accumulation models, and </w:t>
      </w:r>
      <w:r>
        <w:t>archeoastronomy</w:t>
      </w:r>
      <w:r>
        <w:t xml:space="preserve"> back-projection. The study evaluates whether a </w:t>
      </w:r>
      <w:r>
        <w:t>paleo island</w:t>
      </w:r>
      <w:r>
        <w:t xml:space="preserve"> at </w:t>
      </w:r>
      <w:proofErr w:type="spellStart"/>
      <w:r>
        <w:t>Spartel</w:t>
      </w:r>
      <w:proofErr w:type="spellEnd"/>
      <w:r>
        <w:t xml:space="preserve"> Bank could have been exposed during the terminal phase of the Younger Dryas and subsequently submerged by meltwater pulses and post-glacial transgression. The framework incorporates a conceptual “cosmic clock” timing model as a heuristic for aligning astronomical configurations with archaeological memory systems, while remaining grounded in geophysical evidence.</w:t>
      </w:r>
    </w:p>
    <w:p w14:paraId="77F70315" w14:textId="77777777" w:rsidR="00F20F4F" w:rsidRDefault="00F20F4F" w:rsidP="00F20F4F">
      <w:pPr>
        <w:pStyle w:val="NormalWeb"/>
      </w:pPr>
      <w:r>
        <w:t>Introduction</w:t>
      </w:r>
      <w:r>
        <w:br/>
        <w:t xml:space="preserve">The hypothesis of a lost coastal civilization submerged during rapid post-glacial sea-level rise has been explored in both geological and archaeological contexts. Meltwater Pulse events following the Last Glacial Maximum produced significant shoreline displacement globally, particularly during the transition into the Holocene. The region west of the Strait of Gibraltar, specifically </w:t>
      </w:r>
      <w:proofErr w:type="spellStart"/>
      <w:r>
        <w:t>Spartel</w:t>
      </w:r>
      <w:proofErr w:type="spellEnd"/>
      <w:r>
        <w:t xml:space="preserve"> Bank, represents a plausible candidate for a formerly exposed landmass due to its shallow depth and position along a tectonically active convergence zone. The present study synthesizes geophysical, sedimentological, and astronomical considerations to evaluate this location as a candidate site. </w:t>
      </w:r>
    </w:p>
    <w:p w14:paraId="5A3E27DA" w14:textId="481F588B" w:rsidR="00F20F4F" w:rsidRDefault="00F20F4F" w:rsidP="00F20F4F">
      <w:pPr>
        <w:pStyle w:val="NormalWeb"/>
      </w:pPr>
      <w:r>
        <w:t>Geophysical Context and Late Glacial Sea-Level Rise</w:t>
      </w:r>
      <w:r>
        <w:br/>
        <w:t xml:space="preserve">Global sea levels rose rapidly between approximately 12,000 and 9,000 years before </w:t>
      </w:r>
      <w:r>
        <w:t>presenting</w:t>
      </w:r>
      <w:r>
        <w:t xml:space="preserve"> due to glacial meltwater input. Estimates of Meltwater Pulse 1B indicate a rise on the order of several tens of meters, sufficient to inundate continental shelves and low-lying coastal plains. </w:t>
      </w:r>
      <w:proofErr w:type="spellStart"/>
      <w:r>
        <w:t>Spartel</w:t>
      </w:r>
      <w:proofErr w:type="spellEnd"/>
      <w:r>
        <w:t xml:space="preserve"> Bank, currently located at approximately 56 meters below sea level, would </w:t>
      </w:r>
      <w:r>
        <w:t>have</w:t>
      </w:r>
      <w:r>
        <w:t xml:space="preserve"> partially </w:t>
      </w:r>
      <w:r>
        <w:t>emerged</w:t>
      </w:r>
      <w:r>
        <w:t xml:space="preserve"> during lower sea-level stands. This aligns with reconstructions of paleogeography indicating that shallow banks in this region could have supported terrestrial ecosystems prior to submergence. Regional tectonic motion at the Eurasian–African plate boundary is relatively slow, suggesting minimal lateral displacement of the site over Holocene timescales.</w:t>
      </w:r>
    </w:p>
    <w:p w14:paraId="1D8BAD57" w14:textId="39CF53F8" w:rsidR="00F20F4F" w:rsidRDefault="00F20F4F" w:rsidP="00F20F4F">
      <w:pPr>
        <w:pStyle w:val="NormalWeb"/>
      </w:pPr>
      <w:r>
        <w:t>Tectonic Framework and Plate Stability</w:t>
      </w:r>
      <w:r>
        <w:br/>
        <w:t xml:space="preserve">The Gibraltar Arc represents a complex convergent boundary characterized by slow subduction and compressional deformation. Convergence rates in this region are </w:t>
      </w:r>
      <w:r>
        <w:t>in</w:t>
      </w:r>
      <w:r>
        <w:t xml:space="preserve"> </w:t>
      </w:r>
      <w:r>
        <w:t>order</w:t>
      </w:r>
      <w:r>
        <w:t xml:space="preserve"> of millimeters per year, insufficient to produce rapid vertical displacement capable of catastrophic subsidence of continental crust. Instead, tectonic activity contributes to seismicity and localized deformation. This supports the interpretation that submergence of </w:t>
      </w:r>
      <w:proofErr w:type="spellStart"/>
      <w:r>
        <w:t>Spartel</w:t>
      </w:r>
      <w:proofErr w:type="spellEnd"/>
      <w:r>
        <w:t xml:space="preserve"> Bank is primarily attributable to eustatic sea-level rise rather than tectonic collapse. Long-</w:t>
      </w:r>
      <w:r>
        <w:t>term</w:t>
      </w:r>
      <w:r>
        <w:t xml:space="preserve"> stability reinforces the persistence of geographic coordinates over millennial timescales, preserving the spatial relevance of the site.</w:t>
      </w:r>
    </w:p>
    <w:p w14:paraId="12859F9A" w14:textId="77777777" w:rsidR="00F20F4F" w:rsidRDefault="00F20F4F" w:rsidP="00F20F4F">
      <w:pPr>
        <w:pStyle w:val="NormalWeb"/>
      </w:pPr>
      <w:r>
        <w:lastRenderedPageBreak/>
        <w:t>Sediment Accumulation and Burial Processes</w:t>
      </w:r>
      <w:r>
        <w:br/>
        <w:t>Post-glacial sedimentation in the eastern Atlantic and western Mediterranean transition zone is driven by multiple sources, including fluvial input from Iberian and North African rivers, aeolian transport from the Sahara, and biogenic carbonate production. Over approximately eleven millennia, cumulative sediment thickness may reach several tens of meters. When combined with current water depth, this suggests that any pre-existing surface features would now be buried beneath a substantial stratigraphic column. Such burial complicates detection through standard sonar imaging, which primarily resolves surface morphology rather than sub-bottom structures.</w:t>
      </w:r>
    </w:p>
    <w:p w14:paraId="2B4884E1" w14:textId="02C695A5" w:rsidR="00F20F4F" w:rsidRDefault="00F20F4F" w:rsidP="00F20F4F">
      <w:pPr>
        <w:pStyle w:val="NormalWeb"/>
      </w:pPr>
      <w:r>
        <w:t>Archeoastronomy</w:t>
      </w:r>
      <w:r>
        <w:t xml:space="preserve"> Considerations and Back-Projection</w:t>
      </w:r>
      <w:r>
        <w:br/>
        <w:t xml:space="preserve">Astronomical back-projection using </w:t>
      </w:r>
      <w:r>
        <w:t>processional</w:t>
      </w:r>
      <w:r>
        <w:t xml:space="preserve"> motion provides a method for reconstructing the apparent positions of celestial objects in the past. Precession alters the orientation of Earth’s rotational axis over a cycle of approximately 26,000 years, shifting the position of solstices relative to background stars. Alignments observed at early Holocene sites, such as </w:t>
      </w:r>
      <w:proofErr w:type="spellStart"/>
      <w:r>
        <w:t>Göbekli</w:t>
      </w:r>
      <w:proofErr w:type="spellEnd"/>
      <w:r>
        <w:t xml:space="preserve"> Tepe, have been interpreted by some researchers as encoding astronomical knowledge. The present framework proposes that similar alignments could serve as temporal markers, linking observational traditions across different geographic regions. While this “cosmic clock” concept is not a standard scientific model, it functions here as a heuristic for correlating archaeological and astronomical data.</w:t>
      </w:r>
    </w:p>
    <w:p w14:paraId="181E6C7B" w14:textId="77777777" w:rsidR="00F20F4F" w:rsidRDefault="00F20F4F" w:rsidP="00F20F4F">
      <w:pPr>
        <w:pStyle w:val="NormalWeb"/>
      </w:pPr>
      <w:r>
        <w:t>Comparative Analysis with Early Holocene Archaeological Sites</w:t>
      </w:r>
      <w:r>
        <w:br/>
      </w:r>
      <w:proofErr w:type="spellStart"/>
      <w:r>
        <w:t>Göbekli</w:t>
      </w:r>
      <w:proofErr w:type="spellEnd"/>
      <w:r>
        <w:t xml:space="preserve"> Tepe and other early Holocene sites demonstrate advanced symbolic and architectural capabilities emerging shortly after the Younger Dryas. These sites are often interpreted as evidence of rapid cultural development following climatic stabilization. The hypothesis explored here suggests that such developments may reflect continuity of knowledge from earlier populations affected by environmental disruption. While speculative, this interpretation is consistent with broader discussions of cultural resilience and transmission across climatic transitions.</w:t>
      </w:r>
    </w:p>
    <w:p w14:paraId="62345BC3" w14:textId="77777777" w:rsidR="00F20F4F" w:rsidRDefault="00F20F4F" w:rsidP="00F20F4F">
      <w:pPr>
        <w:pStyle w:val="NormalWeb"/>
      </w:pPr>
      <w:r>
        <w:t>Discussion</w:t>
      </w:r>
      <w:r>
        <w:br/>
        <w:t xml:space="preserve">The convergence of geophysical, sedimentological, and astronomical factors supports the plausibility of </w:t>
      </w:r>
      <w:proofErr w:type="spellStart"/>
      <w:r>
        <w:t>Spartel</w:t>
      </w:r>
      <w:proofErr w:type="spellEnd"/>
      <w:r>
        <w:t xml:space="preserve"> Bank as a former exposed landmass during the late Pleistocene. The combination of rapid sea-level rise and long-term sediment accumulation provides a coherent mechanism for the preservation and concealment of any surface features. However, the absence of direct archaeological evidence remains a critical limitation. The integration of non-standard frameworks, such as the cosmic clock model, introduces interpretive flexibility but also necessitates caution regarding empirical validation.</w:t>
      </w:r>
    </w:p>
    <w:p w14:paraId="12F969F2" w14:textId="77777777" w:rsidR="00F20F4F" w:rsidRDefault="00F20F4F" w:rsidP="00F20F4F">
      <w:pPr>
        <w:pStyle w:val="NormalWeb"/>
      </w:pPr>
    </w:p>
    <w:p w14:paraId="2399AF74" w14:textId="77777777" w:rsidR="00F20F4F" w:rsidRDefault="00F20F4F" w:rsidP="00F20F4F">
      <w:pPr>
        <w:pStyle w:val="NormalWeb"/>
      </w:pPr>
    </w:p>
    <w:p w14:paraId="6AC4FC43" w14:textId="77777777" w:rsidR="00F20F4F" w:rsidRDefault="00F20F4F" w:rsidP="00F20F4F">
      <w:pPr>
        <w:pStyle w:val="NormalWeb"/>
      </w:pPr>
    </w:p>
    <w:p w14:paraId="0DB120B5" w14:textId="59ECC16B" w:rsidR="00F20F4F" w:rsidRDefault="00F20F4F" w:rsidP="00F20F4F">
      <w:pPr>
        <w:pStyle w:val="NormalWeb"/>
      </w:pPr>
      <w:r>
        <w:lastRenderedPageBreak/>
        <w:t>Future Research Directions</w:t>
      </w:r>
      <w:r>
        <w:br/>
        <w:t xml:space="preserve">Verification of this hypothesis requires targeted geophysical surveys, including high-resolution sub-bottom profiling and sediment core sampling. These methods could identify anomalous structures or stratigraphic discontinuities indicative of anthropogenic activity. Interdisciplinary collaboration between geologists, archaeologists, and oceanographers will be essential to refine site selection and interpret findings. Advances in marine remote sensing and drilling technologies offer increasing potential for investigating buried </w:t>
      </w:r>
      <w:r>
        <w:t>paleo landscapes</w:t>
      </w:r>
      <w:r>
        <w:t>.</w:t>
      </w:r>
    </w:p>
    <w:p w14:paraId="5F408390" w14:textId="29299C94" w:rsidR="00F20F4F" w:rsidRDefault="00F20F4F" w:rsidP="00F20F4F">
      <w:pPr>
        <w:pStyle w:val="NormalWeb"/>
      </w:pPr>
      <w:r>
        <w:t>Conclusion</w:t>
      </w:r>
      <w:r>
        <w:br/>
        <w:t xml:space="preserve">The </w:t>
      </w:r>
      <w:proofErr w:type="spellStart"/>
      <w:r>
        <w:t>Spartel</w:t>
      </w:r>
      <w:proofErr w:type="spellEnd"/>
      <w:r>
        <w:t xml:space="preserve"> Bank region presents a </w:t>
      </w:r>
      <w:r>
        <w:t>geophysical</w:t>
      </w:r>
      <w:r>
        <w:t xml:space="preserve"> plausible candidate for a submerged late Pleistocene landform affected by post-glacial sea-level rise. While the integration of astronomical alignment concepts provides an additional interpretive layer, the hypothesis remains contingent on empirical validation through direct observation. The study contributes to ongoing discussions regarding coastal submergence, human adaptation to climate change, and the preservation of ancient landscapes beneath marine sediment.</w:t>
      </w:r>
    </w:p>
    <w:p w14:paraId="490413EA" w14:textId="77777777" w:rsidR="00F20F4F" w:rsidRDefault="00F20F4F" w:rsidP="00F20F4F">
      <w:pPr>
        <w:pStyle w:val="NormalWeb"/>
      </w:pPr>
      <w:r>
        <w:t>References</w:t>
      </w:r>
    </w:p>
    <w:p w14:paraId="3C7CC15D" w14:textId="77777777" w:rsidR="00F20F4F" w:rsidRDefault="00F20F4F" w:rsidP="00F20F4F">
      <w:pPr>
        <w:pStyle w:val="NormalWeb"/>
      </w:pPr>
      <w:r>
        <w:t>Fairbanks, R. G. Rapid changes in sea level during the last glacial maximum. Nature.</w:t>
      </w:r>
    </w:p>
    <w:p w14:paraId="1912DFF5" w14:textId="77777777" w:rsidR="00F20F4F" w:rsidRDefault="00F20F4F" w:rsidP="00F20F4F">
      <w:pPr>
        <w:pStyle w:val="NormalWeb"/>
      </w:pPr>
      <w:r>
        <w:t xml:space="preserve">Lambeck, K., </w:t>
      </w:r>
      <w:proofErr w:type="spellStart"/>
      <w:r>
        <w:t>Rouby</w:t>
      </w:r>
      <w:proofErr w:type="spellEnd"/>
      <w:r>
        <w:t xml:space="preserve">, H., Purcell, A., Sun, Y., </w:t>
      </w:r>
      <w:proofErr w:type="spellStart"/>
      <w:r>
        <w:t>Sambridge</w:t>
      </w:r>
      <w:proofErr w:type="spellEnd"/>
      <w:r>
        <w:t>, M. Sea level and global ice volumes from the Last Glacial Maximum to the Holocene. Proceedings of the National Academy of Sciences.</w:t>
      </w:r>
    </w:p>
    <w:p w14:paraId="04268550" w14:textId="77777777" w:rsidR="00F20F4F" w:rsidRDefault="00F20F4F" w:rsidP="00F20F4F">
      <w:pPr>
        <w:pStyle w:val="NormalWeb"/>
      </w:pPr>
      <w:r>
        <w:t>Stanley, D. J., Warne, A. G. Nile delta in its destruction phase. Journal of Coastal Research.</w:t>
      </w:r>
    </w:p>
    <w:p w14:paraId="54D4F03B" w14:textId="77777777" w:rsidR="00F20F4F" w:rsidRDefault="00F20F4F" w:rsidP="00F20F4F">
      <w:pPr>
        <w:pStyle w:val="NormalWeb"/>
      </w:pPr>
      <w:r>
        <w:t>Straus, L. G. The Upper Paleolithic of Europe. Annual Review of Anthropology.</w:t>
      </w:r>
    </w:p>
    <w:p w14:paraId="0810DAAF" w14:textId="77777777" w:rsidR="00F20F4F" w:rsidRDefault="00F20F4F" w:rsidP="00F20F4F">
      <w:pPr>
        <w:pStyle w:val="NormalWeb"/>
      </w:pPr>
      <w:r>
        <w:t xml:space="preserve">Dietrich, O., Heun, M., </w:t>
      </w:r>
      <w:proofErr w:type="spellStart"/>
      <w:r>
        <w:t>Notroff</w:t>
      </w:r>
      <w:proofErr w:type="spellEnd"/>
      <w:r>
        <w:t xml:space="preserve">, J., Schmidt, K., </w:t>
      </w:r>
      <w:proofErr w:type="spellStart"/>
      <w:r>
        <w:t>Zarnkow</w:t>
      </w:r>
      <w:proofErr w:type="spellEnd"/>
      <w:r>
        <w:t>, M. The role of cult and feasting in the emergence of Neolithic communities. Antiquity.</w:t>
      </w:r>
    </w:p>
    <w:p w14:paraId="09A2177C" w14:textId="77777777" w:rsidR="00F20F4F" w:rsidRDefault="00F20F4F" w:rsidP="00F20F4F">
      <w:pPr>
        <w:pStyle w:val="NormalWeb"/>
      </w:pPr>
      <w:r>
        <w:t xml:space="preserve">Weninger, B., Clare, L. Climate change and the transition to agriculture in Europe. Documenta </w:t>
      </w:r>
      <w:proofErr w:type="spellStart"/>
      <w:r>
        <w:t>Praehistorica</w:t>
      </w:r>
      <w:proofErr w:type="spellEnd"/>
      <w:r>
        <w:t>.</w:t>
      </w:r>
    </w:p>
    <w:p w14:paraId="2A6BB475" w14:textId="77777777" w:rsidR="00F20F4F" w:rsidRDefault="00F20F4F" w:rsidP="00F20F4F">
      <w:pPr>
        <w:pStyle w:val="NormalWeb"/>
      </w:pPr>
      <w:r>
        <w:t>Peltier, W. R. Global glacial isostasy and the surface of the ice-age Earth. Annual Review of Earth and Planetary Sciences.</w:t>
      </w:r>
    </w:p>
    <w:p w14:paraId="00F6C021" w14:textId="77777777" w:rsidR="00F20F4F" w:rsidRDefault="00F20F4F" w:rsidP="00F20F4F">
      <w:pPr>
        <w:pStyle w:val="NormalWeb"/>
      </w:pPr>
      <w:r>
        <w:t>Flemming, N. C. Submerged prehistoric archaeology of the continental shelf. Annual Review of Anthropology.</w:t>
      </w:r>
    </w:p>
    <w:p w14:paraId="5473F07E" w14:textId="77777777" w:rsidR="00AA040C" w:rsidRDefault="00AA040C" w:rsidP="00F20F4F">
      <w:pPr>
        <w:pStyle w:val="NormalWeb"/>
      </w:pPr>
    </w:p>
    <w:p w14:paraId="23512FF3" w14:textId="77777777" w:rsidR="00AA040C" w:rsidRDefault="00AA040C" w:rsidP="00F20F4F">
      <w:pPr>
        <w:pStyle w:val="NormalWeb"/>
      </w:pPr>
    </w:p>
    <w:p w14:paraId="1B36D50A" w14:textId="6C0A9503" w:rsidR="00F70CC9" w:rsidRDefault="00AA040C" w:rsidP="00F20F4F">
      <w:r>
        <w:rPr>
          <w:noProof/>
        </w:rPr>
        <w:lastRenderedPageBreak/>
        <w:drawing>
          <wp:inline distT="0" distB="0" distL="0" distR="0" wp14:anchorId="6D0394E4" wp14:editId="09968474">
            <wp:extent cx="5486400" cy="2788920"/>
            <wp:effectExtent l="0" t="0" r="0" b="0"/>
            <wp:docPr id="12291411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9141119" name="Picture 1229141119"/>
                    <pic:cNvPicPr/>
                  </pic:nvPicPr>
                  <pic:blipFill>
                    <a:blip r:embed="rId6"/>
                    <a:stretch>
                      <a:fillRect/>
                    </a:stretch>
                  </pic:blipFill>
                  <pic:spPr>
                    <a:xfrm>
                      <a:off x="0" y="0"/>
                      <a:ext cx="5486400" cy="2788920"/>
                    </a:xfrm>
                    <a:prstGeom prst="rect">
                      <a:avLst/>
                    </a:prstGeom>
                  </pic:spPr>
                </pic:pic>
              </a:graphicData>
            </a:graphic>
          </wp:inline>
        </w:drawing>
      </w:r>
    </w:p>
    <w:p w14:paraId="0DAC9144" w14:textId="77777777" w:rsidR="00AA040C" w:rsidRPr="00F20F4F" w:rsidRDefault="00AA040C" w:rsidP="00F20F4F"/>
    <w:sectPr w:rsidR="00AA040C" w:rsidRPr="00F20F4F"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872765777">
    <w:abstractNumId w:val="8"/>
  </w:num>
  <w:num w:numId="2" w16cid:durableId="1407412710">
    <w:abstractNumId w:val="6"/>
  </w:num>
  <w:num w:numId="3" w16cid:durableId="776681260">
    <w:abstractNumId w:val="5"/>
  </w:num>
  <w:num w:numId="4" w16cid:durableId="696732417">
    <w:abstractNumId w:val="4"/>
  </w:num>
  <w:num w:numId="5" w16cid:durableId="1053039823">
    <w:abstractNumId w:val="7"/>
  </w:num>
  <w:num w:numId="6" w16cid:durableId="1317757723">
    <w:abstractNumId w:val="3"/>
  </w:num>
  <w:num w:numId="7" w16cid:durableId="1421097546">
    <w:abstractNumId w:val="2"/>
  </w:num>
  <w:num w:numId="8" w16cid:durableId="590701717">
    <w:abstractNumId w:val="1"/>
  </w:num>
  <w:num w:numId="9" w16cid:durableId="9070305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D2365"/>
    <w:rsid w:val="0015074B"/>
    <w:rsid w:val="0029639D"/>
    <w:rsid w:val="00326F90"/>
    <w:rsid w:val="00AA040C"/>
    <w:rsid w:val="00AA1D8D"/>
    <w:rsid w:val="00B47730"/>
    <w:rsid w:val="00CB0664"/>
    <w:rsid w:val="00F20F4F"/>
    <w:rsid w:val="00F70CC9"/>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882E706"/>
  <w14:defaultImageDpi w14:val="300"/>
  <w15:docId w15:val="{24560A5C-EC55-4E1D-899A-1F24676EAD6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NormalWeb">
    <w:name w:val="Normal (Web)"/>
    <w:basedOn w:val="Normal"/>
    <w:uiPriority w:val="99"/>
    <w:semiHidden/>
    <w:unhideWhenUsed/>
    <w:rsid w:val="00F20F4F"/>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jpg"/><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15</TotalTime>
  <Pages>4</Pages>
  <Words>1196</Words>
  <Characters>6822</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8002</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Gabino Casanova</cp:lastModifiedBy>
  <cp:revision>2</cp:revision>
  <dcterms:created xsi:type="dcterms:W3CDTF">2013-12-23T23:15:00Z</dcterms:created>
  <dcterms:modified xsi:type="dcterms:W3CDTF">2026-04-23T17:13:00Z</dcterms:modified>
  <cp:category/>
</cp:coreProperties>
</file>