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C71B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C3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Tepe and Karahan Tepe as Early Astronomical Timekeeping Systems:</w:t>
      </w:r>
    </w:p>
    <w:p w14:paraId="4CB2209D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A Comparative Chronology within a Cosmic Synchronization Framework (CST)**</w:t>
      </w:r>
    </w:p>
    <w:p w14:paraId="76A4C89B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2AB0D374" w14:textId="38C2C3C5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Tepe and Karahan Tepe, located in southeastern Anatolia, represent some of the earliest known monumental constructions in human history (ca. 10th–8th millennium BCE). While widely interpreted as ritual or proto-religious sites, increasing archaeological and 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archeoastronomy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evidence suggests these structures may also have functioned as early observational systems tied to solar, lunar, and stellar cycles. This paper presents a comparative chronological analysis of both sites and introduces a structured interpretive framework—Cosmic Synchronization Time (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CST)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as a timing-based lens for evaluating their alignment with celestial cycles. The study integrates archaeological data, geographic positioning, and astronomical considerations while maintaining a clear distinction between established evidence and theoretical extensions.</w:t>
      </w:r>
    </w:p>
    <w:p w14:paraId="6B6AB872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520F77F5" w14:textId="24B985E6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The discovery and excavation of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Tepe by Klaus Schmidt under the German Archaeological Institute transformed understanding of early Neolithic societies, demonstrating that large-scale monument construction predated agriculture (Schmidt, 2010). Karahan Tepe, part of the broader Taş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Tepeler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cultural network, has further expanded this paradigm, revealing a distributed system of contemporaneous sites.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Scholarly consensus recognizes these locations as ritual centers; however, their repeated geometric patterns, orientation, and symbolic carvings raise the question of whether they also served as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proto-astronomical calibration systems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79E2C6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This paper explores that possibility through:</w:t>
      </w:r>
    </w:p>
    <w:p w14:paraId="7CFD8790" w14:textId="77777777" w:rsidR="00FC342F" w:rsidRPr="00FC342F" w:rsidRDefault="00FC342F" w:rsidP="00FC34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Archaeological synthesis </w:t>
      </w:r>
    </w:p>
    <w:p w14:paraId="2546A403" w14:textId="77777777" w:rsidR="00FC342F" w:rsidRPr="00FC342F" w:rsidRDefault="00FC342F" w:rsidP="00FC34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Chronological comparison </w:t>
      </w:r>
    </w:p>
    <w:p w14:paraId="220ED4F1" w14:textId="77777777" w:rsidR="00FC342F" w:rsidRPr="00FC342F" w:rsidRDefault="00FC342F" w:rsidP="00FC34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Astronomical alignment hypotheses </w:t>
      </w:r>
    </w:p>
    <w:p w14:paraId="2E0BF0D4" w14:textId="77777777" w:rsidR="00FC342F" w:rsidRPr="00FC342F" w:rsidRDefault="00FC342F" w:rsidP="00FC34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A structured timing model (CST) </w:t>
      </w:r>
    </w:p>
    <w:p w14:paraId="1CA96FCF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2. Archaeological Background</w:t>
      </w:r>
    </w:p>
    <w:p w14:paraId="2B3317F7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Tepe</w:t>
      </w:r>
    </w:p>
    <w:p w14:paraId="622B284F" w14:textId="77777777" w:rsidR="00FC342F" w:rsidRPr="00FC342F" w:rsidRDefault="00FC342F" w:rsidP="00FC34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Location: 37.223°N, 38.922°E </w:t>
      </w:r>
    </w:p>
    <w:p w14:paraId="2CB646C7" w14:textId="77777777" w:rsidR="00FC342F" w:rsidRPr="00FC342F" w:rsidRDefault="00FC342F" w:rsidP="00FC34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Dating: ca. 9600–8200 BCE </w:t>
      </w:r>
    </w:p>
    <w:p w14:paraId="67C5FF3B" w14:textId="77777777" w:rsidR="00FC342F" w:rsidRPr="00FC342F" w:rsidRDefault="00FC342F" w:rsidP="00FC34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Status: UNESCO World Heritage Site </w:t>
      </w:r>
    </w:p>
    <w:p w14:paraId="31DD6A74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lastRenderedPageBreak/>
        <w:t>Göbekli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Tepe consists of circular enclosures with T-shaped limestone pillars, many decorated with animal reliefs. Radiocarbon dating places its primary occupation in the Pre-Pottery Neolithic A (PPNA) period (Dietrich et al., 2012).</w:t>
      </w:r>
    </w:p>
    <w:p w14:paraId="1649ACD3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2.2 Karahan Tepe</w:t>
      </w:r>
    </w:p>
    <w:p w14:paraId="2377D579" w14:textId="77777777" w:rsidR="00FC342F" w:rsidRPr="00FC342F" w:rsidRDefault="00FC342F" w:rsidP="00FC34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Location: 37.091°N, 39.303°E </w:t>
      </w:r>
    </w:p>
    <w:p w14:paraId="47454CFC" w14:textId="77777777" w:rsidR="00FC342F" w:rsidRPr="00FC342F" w:rsidRDefault="00FC342F" w:rsidP="00FC34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Distance from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Tepe: ~45 km </w:t>
      </w:r>
    </w:p>
    <w:p w14:paraId="48A74B12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Karahan Tepe includes subterranean chambers, anthropomorphic sculptures, and phallic stone pillars. Recent excavations suggest it was part of a broader regional complex rather than an isolated site (Karul, 2021).</w:t>
      </w:r>
    </w:p>
    <w:p w14:paraId="3F4550CD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3. Chronological Framework</w:t>
      </w:r>
    </w:p>
    <w:p w14:paraId="6139A263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3.1 Established Dating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487"/>
        <w:gridCol w:w="1394"/>
        <w:gridCol w:w="1099"/>
      </w:tblGrid>
      <w:tr w:rsidR="00FC342F" w:rsidRPr="00FC342F" w14:paraId="7A3D0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7889A" w14:textId="77777777" w:rsidR="00FC342F" w:rsidRPr="00FC342F" w:rsidRDefault="00FC342F" w:rsidP="00FC3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50E07794" w14:textId="77777777" w:rsidR="00FC342F" w:rsidRPr="00FC342F" w:rsidRDefault="00FC342F" w:rsidP="00FC3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Start</w:t>
            </w:r>
          </w:p>
        </w:tc>
        <w:tc>
          <w:tcPr>
            <w:tcW w:w="0" w:type="auto"/>
            <w:vAlign w:val="center"/>
            <w:hideMark/>
          </w:tcPr>
          <w:p w14:paraId="4E583784" w14:textId="77777777" w:rsidR="00FC342F" w:rsidRPr="00FC342F" w:rsidRDefault="00FC342F" w:rsidP="00FC3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End</w:t>
            </w:r>
          </w:p>
        </w:tc>
        <w:tc>
          <w:tcPr>
            <w:tcW w:w="0" w:type="auto"/>
            <w:vAlign w:val="center"/>
            <w:hideMark/>
          </w:tcPr>
          <w:p w14:paraId="2956991F" w14:textId="77777777" w:rsidR="00FC342F" w:rsidRPr="00FC342F" w:rsidRDefault="00FC342F" w:rsidP="00FC3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FC342F" w:rsidRPr="00FC342F" w14:paraId="3F314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429F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Göbekli</w:t>
            </w:r>
            <w:proofErr w:type="spellEnd"/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Tepe</w:t>
            </w:r>
          </w:p>
        </w:tc>
        <w:tc>
          <w:tcPr>
            <w:tcW w:w="0" w:type="auto"/>
            <w:vAlign w:val="center"/>
            <w:hideMark/>
          </w:tcPr>
          <w:p w14:paraId="6D1289A1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~9600 BCE</w:t>
            </w:r>
          </w:p>
        </w:tc>
        <w:tc>
          <w:tcPr>
            <w:tcW w:w="0" w:type="auto"/>
            <w:vAlign w:val="center"/>
            <w:hideMark/>
          </w:tcPr>
          <w:p w14:paraId="7B36C458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~8200 BCE</w:t>
            </w:r>
          </w:p>
        </w:tc>
        <w:tc>
          <w:tcPr>
            <w:tcW w:w="0" w:type="auto"/>
            <w:vAlign w:val="center"/>
            <w:hideMark/>
          </w:tcPr>
          <w:p w14:paraId="7F1762AB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~1,400 yrs</w:t>
            </w:r>
          </w:p>
        </w:tc>
      </w:tr>
      <w:tr w:rsidR="00FC342F" w:rsidRPr="00FC342F" w14:paraId="62C3A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498D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Karahan Tepe</w:t>
            </w:r>
          </w:p>
        </w:tc>
        <w:tc>
          <w:tcPr>
            <w:tcW w:w="0" w:type="auto"/>
            <w:vAlign w:val="center"/>
            <w:hideMark/>
          </w:tcPr>
          <w:p w14:paraId="647B962A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~9000 BCE</w:t>
            </w:r>
          </w:p>
        </w:tc>
        <w:tc>
          <w:tcPr>
            <w:tcW w:w="0" w:type="auto"/>
            <w:vAlign w:val="center"/>
            <w:hideMark/>
          </w:tcPr>
          <w:p w14:paraId="743CB155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~8000 BCE</w:t>
            </w:r>
          </w:p>
        </w:tc>
        <w:tc>
          <w:tcPr>
            <w:tcW w:w="0" w:type="auto"/>
            <w:vAlign w:val="center"/>
            <w:hideMark/>
          </w:tcPr>
          <w:p w14:paraId="576BEF2E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~1,000 yrs</w:t>
            </w:r>
          </w:p>
        </w:tc>
      </w:tr>
    </w:tbl>
    <w:p w14:paraId="0706799E" w14:textId="79755982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Note: Earlier proposed dates (e.g., 10,950 BCE) are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 extensions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and are treated here as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hypotheses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, not established archaeological consensus.</w:t>
      </w:r>
    </w:p>
    <w:p w14:paraId="7128F75F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4. Astronomical Alignment Hypotheses</w:t>
      </w:r>
    </w:p>
    <w:p w14:paraId="4BA6E309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4.1 Solar Anchoring</w:t>
      </w:r>
    </w:p>
    <w:p w14:paraId="5C609CEB" w14:textId="1A7F738B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Many enclosures appear oriented 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towards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70DC9C" w14:textId="77777777" w:rsidR="00FC342F" w:rsidRPr="00FC342F" w:rsidRDefault="00FC342F" w:rsidP="00FC34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Summer solstice sunrise </w:t>
      </w:r>
    </w:p>
    <w:p w14:paraId="61CBFC1A" w14:textId="77777777" w:rsidR="00FC342F" w:rsidRPr="00FC342F" w:rsidRDefault="00FC342F" w:rsidP="00FC34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Winter solstice sunset </w:t>
      </w:r>
    </w:p>
    <w:p w14:paraId="69934A76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These alignments are consistent with early agricultural calendrical needs.</w:t>
      </w:r>
    </w:p>
    <w:p w14:paraId="529C6E14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4.2 Stellar Considerations</w:t>
      </w:r>
    </w:p>
    <w:p w14:paraId="5637CD9B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Some researchers propose alignments with constellations such as Cygnus or Taurus (Magli, 2016), though these remain debated due to:</w:t>
      </w:r>
    </w:p>
    <w:p w14:paraId="35D79311" w14:textId="77777777" w:rsidR="00FC342F" w:rsidRPr="00FC342F" w:rsidRDefault="00FC342F" w:rsidP="00FC34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Precession (~26,000-year cycle) </w:t>
      </w:r>
    </w:p>
    <w:p w14:paraId="2A31D243" w14:textId="77777777" w:rsidR="00FC342F" w:rsidRPr="00FC342F" w:rsidRDefault="00FC342F" w:rsidP="00FC34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Lack of definitive sightline markers </w:t>
      </w:r>
    </w:p>
    <w:p w14:paraId="545C1B12" w14:textId="26804E73" w:rsidR="00FC342F" w:rsidRPr="00FC342F" w:rsidRDefault="00FC342F" w:rsidP="00FC3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76D5C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Symbolism and Seasonal Interpretation (Evidence vs Hypothesis)</w:t>
      </w:r>
    </w:p>
    <w:p w14:paraId="227B4AE0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5.1 Observed Data</w:t>
      </w:r>
    </w:p>
    <w:p w14:paraId="6EF42EF1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Animal carvings include:</w:t>
      </w:r>
    </w:p>
    <w:p w14:paraId="28B9BCE7" w14:textId="77777777" w:rsidR="00FC342F" w:rsidRPr="00FC342F" w:rsidRDefault="00FC342F" w:rsidP="00FC34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Bulls </w:t>
      </w:r>
    </w:p>
    <w:p w14:paraId="7890AC60" w14:textId="77777777" w:rsidR="00FC342F" w:rsidRPr="00FC342F" w:rsidRDefault="00FC342F" w:rsidP="00FC34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Foxes </w:t>
      </w:r>
    </w:p>
    <w:p w14:paraId="6131E37F" w14:textId="77777777" w:rsidR="00FC342F" w:rsidRPr="00FC342F" w:rsidRDefault="00FC342F" w:rsidP="00FC34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Snakes </w:t>
      </w:r>
    </w:p>
    <w:p w14:paraId="51F16C75" w14:textId="77777777" w:rsidR="00FC342F" w:rsidRPr="00FC342F" w:rsidRDefault="00FC342F" w:rsidP="00FC34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35DA9EDE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archaeologically verified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0D86BD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5.2 Hypothesis Layer (Clearly Defined)</w:t>
      </w:r>
    </w:p>
    <w:p w14:paraId="64F6BD33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A seasonal interpretation model suggests: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654"/>
      </w:tblGrid>
      <w:tr w:rsidR="00FC342F" w:rsidRPr="00FC342F" w14:paraId="37A50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544BC" w14:textId="77777777" w:rsidR="00FC342F" w:rsidRPr="00FC342F" w:rsidRDefault="00FC342F" w:rsidP="00FC3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2EAE01F" w14:textId="77777777" w:rsidR="00FC342F" w:rsidRPr="00FC342F" w:rsidRDefault="00FC342F" w:rsidP="00FC3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Association</w:t>
            </w:r>
          </w:p>
        </w:tc>
      </w:tr>
      <w:tr w:rsidR="00FC342F" w:rsidRPr="00FC342F" w14:paraId="0F8B4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3FFF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Bull</w:t>
            </w:r>
          </w:p>
        </w:tc>
        <w:tc>
          <w:tcPr>
            <w:tcW w:w="0" w:type="auto"/>
            <w:vAlign w:val="center"/>
            <w:hideMark/>
          </w:tcPr>
          <w:p w14:paraId="0D2CECF6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Spring / fertility</w:t>
            </w:r>
          </w:p>
        </w:tc>
      </w:tr>
      <w:tr w:rsidR="00FC342F" w:rsidRPr="00FC342F" w14:paraId="5393F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CD2C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Bird</w:t>
            </w:r>
          </w:p>
        </w:tc>
        <w:tc>
          <w:tcPr>
            <w:tcW w:w="0" w:type="auto"/>
            <w:vAlign w:val="center"/>
            <w:hideMark/>
          </w:tcPr>
          <w:p w14:paraId="7CE40B57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Sky / transition cycles</w:t>
            </w:r>
          </w:p>
        </w:tc>
      </w:tr>
      <w:tr w:rsidR="00FC342F" w:rsidRPr="00FC342F" w14:paraId="0401C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1808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Snake</w:t>
            </w:r>
          </w:p>
        </w:tc>
        <w:tc>
          <w:tcPr>
            <w:tcW w:w="0" w:type="auto"/>
            <w:vAlign w:val="center"/>
            <w:hideMark/>
          </w:tcPr>
          <w:p w14:paraId="4BA7EB7C" w14:textId="77777777" w:rsidR="00FC342F" w:rsidRPr="00FC342F" w:rsidRDefault="00FC342F" w:rsidP="00FC3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42F">
              <w:rPr>
                <w:rFonts w:ascii="Times New Roman" w:eastAsia="Times New Roman" w:hAnsi="Times New Roman" w:cs="Times New Roman"/>
                <w:sz w:val="24"/>
                <w:szCs w:val="24"/>
              </w:rPr>
              <w:t>Renewal / seasonal change</w:t>
            </w:r>
          </w:p>
        </w:tc>
      </w:tr>
    </w:tbl>
    <w:p w14:paraId="5283E350" w14:textId="0FBA7E25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hypothesis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, not confirmed intent.</w:t>
      </w:r>
    </w:p>
    <w:p w14:paraId="26A7B967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6. Cosmic Synchronization Time (CST) Framework</w:t>
      </w:r>
    </w:p>
    <w:p w14:paraId="0B807C76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6.1 Definition</w:t>
      </w:r>
    </w:p>
    <w:p w14:paraId="5B337EC0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CST is introduced as a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timing-based interpretive model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, not a replacement for established physics or archaeology.</w:t>
      </w:r>
    </w:p>
    <w:p w14:paraId="61927B51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It treats time as a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synchronization variable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between:</w:t>
      </w:r>
    </w:p>
    <w:p w14:paraId="4B91BE06" w14:textId="77777777" w:rsidR="00FC342F" w:rsidRPr="00FC342F" w:rsidRDefault="00FC342F" w:rsidP="00FC34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Earth-based observation points </w:t>
      </w:r>
    </w:p>
    <w:p w14:paraId="3133BFBA" w14:textId="77777777" w:rsidR="00FC342F" w:rsidRPr="00FC342F" w:rsidRDefault="00FC342F" w:rsidP="00FC34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Solar cycles </w:t>
      </w:r>
    </w:p>
    <w:p w14:paraId="294F0A5A" w14:textId="77777777" w:rsidR="00FC342F" w:rsidRPr="00FC342F" w:rsidRDefault="00FC342F" w:rsidP="00FC34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Stellar reference frames </w:t>
      </w:r>
    </w:p>
    <w:p w14:paraId="584CF8FC" w14:textId="34151367" w:rsidR="00FC342F" w:rsidRDefault="00FC342F" w:rsidP="00FC3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0D8FB" w14:textId="77777777" w:rsidR="00FC342F" w:rsidRDefault="00FC342F" w:rsidP="00FC3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DBCB0" w14:textId="77777777" w:rsidR="00FC342F" w:rsidRDefault="00FC342F" w:rsidP="00FC3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44B2D2" w14:textId="77777777" w:rsidR="00FC342F" w:rsidRPr="00FC342F" w:rsidRDefault="00FC342F" w:rsidP="00FC3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8B0AB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6.2 Core Expression</w:t>
      </w:r>
    </w:p>
    <w:p w14:paraId="2E9E50C9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ΔT =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T_site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T_reference</w:t>
      </w:r>
      <w:proofErr w:type="spellEnd"/>
    </w:p>
    <w:p w14:paraId="0A8DFF7F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048F61C3" w14:textId="77777777" w:rsidR="00FC342F" w:rsidRPr="00FC342F" w:rsidRDefault="00FC342F" w:rsidP="00FC34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T_site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= observed local celestial event </w:t>
      </w:r>
    </w:p>
    <w:p w14:paraId="0BA63947" w14:textId="77777777" w:rsidR="00FC342F" w:rsidRPr="00FC342F" w:rsidRDefault="00FC342F" w:rsidP="00FC34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T_reference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= expected solar/astronomical event </w:t>
      </w:r>
    </w:p>
    <w:p w14:paraId="50D0E52F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6.3 Application to Archaeological Sites</w:t>
      </w:r>
    </w:p>
    <w:p w14:paraId="78F50D5F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Under CST, sites like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Tepe can be interpreted as:</w:t>
      </w:r>
    </w:p>
    <w:p w14:paraId="6C0EE96C" w14:textId="77777777" w:rsidR="00FC342F" w:rsidRPr="00FC342F" w:rsidRDefault="00FC342F" w:rsidP="00FC34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Fixed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timing nodes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1DD471" w14:textId="77777777" w:rsidR="00FC342F" w:rsidRPr="00FC342F" w:rsidRDefault="00FC342F" w:rsidP="00FC34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Used to track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phase alignment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between seasonal and celestial cycles </w:t>
      </w:r>
    </w:p>
    <w:p w14:paraId="0DA9E8AF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7. Comparative Site Geometry</w:t>
      </w:r>
    </w:p>
    <w:p w14:paraId="4A504BD4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7.1 Regional Relationship</w:t>
      </w:r>
    </w:p>
    <w:p w14:paraId="0579DE15" w14:textId="77777777" w:rsidR="00FC342F" w:rsidRPr="00FC342F" w:rsidRDefault="00FC342F" w:rsidP="00FC3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42F">
        <w:rPr>
          <w:rFonts w:ascii="Courier New" w:eastAsia="Times New Roman" w:hAnsi="Courier New" w:cs="Courier New"/>
          <w:sz w:val="20"/>
          <w:szCs w:val="20"/>
        </w:rPr>
        <w:t xml:space="preserve">          (North)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↑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proofErr w:type="spellStart"/>
      <w:r w:rsidRPr="00FC342F">
        <w:rPr>
          <w:rFonts w:ascii="Courier New" w:eastAsia="Times New Roman" w:hAnsi="Courier New" w:cs="Courier New"/>
          <w:sz w:val="20"/>
          <w:szCs w:val="20"/>
        </w:rPr>
        <w:t>Göbekli</w:t>
      </w:r>
      <w:proofErr w:type="spellEnd"/>
      <w:r w:rsidRPr="00FC342F">
        <w:rPr>
          <w:rFonts w:ascii="Courier New" w:eastAsia="Times New Roman" w:hAnsi="Courier New" w:cs="Courier New"/>
          <w:sz w:val="20"/>
          <w:szCs w:val="20"/>
        </w:rPr>
        <w:t xml:space="preserve"> Tepe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●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|   ~45 km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●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Karahan Tepe</w:t>
      </w:r>
    </w:p>
    <w:p w14:paraId="2F498BD8" w14:textId="7F41967C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The proximity suggests a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system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, not isolated construction.</w:t>
      </w:r>
    </w:p>
    <w:p w14:paraId="5047997C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7.2 Solar Alignment Concept</w:t>
      </w:r>
    </w:p>
    <w:p w14:paraId="65D81199" w14:textId="77777777" w:rsidR="00FC342F" w:rsidRPr="00FC342F" w:rsidRDefault="00FC342F" w:rsidP="00FC3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42F">
        <w:rPr>
          <w:rFonts w:ascii="Courier New" w:eastAsia="Times New Roman" w:hAnsi="Courier New" w:cs="Courier New"/>
          <w:sz w:val="20"/>
          <w:szCs w:val="20"/>
        </w:rPr>
        <w:t xml:space="preserve">          Sunrise (Summer Solstice)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→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\     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 \    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  \   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   \  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    ●  (Central Pillar)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   /|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  / 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 /  |</w:t>
      </w:r>
      <w:r w:rsidRPr="00FC342F">
        <w:rPr>
          <w:rFonts w:ascii="Courier New" w:eastAsia="Times New Roman" w:hAnsi="Courier New" w:cs="Courier New"/>
          <w:sz w:val="20"/>
          <w:szCs w:val="20"/>
        </w:rPr>
        <w:br/>
        <w:t xml:space="preserve">              /   |</w:t>
      </w:r>
    </w:p>
    <w:p w14:paraId="2D27F579" w14:textId="0C582BD6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This illustrates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observational alignment corridors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14FC24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Interpretation: Dual-System Model</w:t>
      </w:r>
    </w:p>
    <w:p w14:paraId="2219C4A0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8.1 </w:t>
      </w:r>
      <w:proofErr w:type="spellStart"/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Tepe</w:t>
      </w:r>
    </w:p>
    <w:p w14:paraId="5198F5E8" w14:textId="77777777" w:rsidR="00FC342F" w:rsidRPr="00FC342F" w:rsidRDefault="00FC342F" w:rsidP="00FC34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External calibration system </w:t>
      </w:r>
    </w:p>
    <w:p w14:paraId="741E9F91" w14:textId="77777777" w:rsidR="00FC342F" w:rsidRPr="00FC342F" w:rsidRDefault="00FC342F" w:rsidP="00FC34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Focus: environment, seasons, sky </w:t>
      </w:r>
    </w:p>
    <w:p w14:paraId="55DC7928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42F">
        <w:rPr>
          <w:rFonts w:ascii="Times New Roman" w:eastAsia="Times New Roman" w:hAnsi="Times New Roman" w:cs="Times New Roman"/>
          <w:b/>
          <w:bCs/>
          <w:sz w:val="27"/>
          <w:szCs w:val="27"/>
        </w:rPr>
        <w:t>8.2 Karahan Tepe</w:t>
      </w:r>
    </w:p>
    <w:p w14:paraId="0620DA90" w14:textId="77777777" w:rsidR="00FC342F" w:rsidRPr="00FC342F" w:rsidRDefault="00FC342F" w:rsidP="00FC34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Internalized symbolic system </w:t>
      </w:r>
    </w:p>
    <w:p w14:paraId="356D706C" w14:textId="77777777" w:rsidR="00FC342F" w:rsidRPr="00FC342F" w:rsidRDefault="00FC342F" w:rsidP="00FC34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Focus: human representation, enclosure, subterranean space </w:t>
      </w:r>
    </w:p>
    <w:p w14:paraId="13079A25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9. Discussion</w:t>
      </w:r>
    </w:p>
    <w:p w14:paraId="25B14334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The combination of:</w:t>
      </w:r>
    </w:p>
    <w:p w14:paraId="1C6BD97D" w14:textId="77777777" w:rsidR="00FC342F" w:rsidRPr="00FC342F" w:rsidRDefault="00FC342F" w:rsidP="00FC34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Monumental architecture </w:t>
      </w:r>
    </w:p>
    <w:p w14:paraId="708361B4" w14:textId="77777777" w:rsidR="00FC342F" w:rsidRPr="00FC342F" w:rsidRDefault="00FC342F" w:rsidP="00FC34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Repeated geometric layouts </w:t>
      </w:r>
    </w:p>
    <w:p w14:paraId="7B4839A9" w14:textId="77777777" w:rsidR="00FC342F" w:rsidRPr="00FC342F" w:rsidRDefault="00FC342F" w:rsidP="00FC34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Symbolic carvings </w:t>
      </w:r>
    </w:p>
    <w:p w14:paraId="1CD91197" w14:textId="77777777" w:rsidR="00FC342F" w:rsidRPr="00FC342F" w:rsidRDefault="00FC342F" w:rsidP="00FC34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Geographic clustering </w:t>
      </w:r>
    </w:p>
    <w:p w14:paraId="4E8497CF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suggests these sites may represent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early structured knowledge systems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, potentially including:</w:t>
      </w:r>
    </w:p>
    <w:p w14:paraId="4FC0C4C1" w14:textId="77777777" w:rsidR="00FC342F" w:rsidRPr="00FC342F" w:rsidRDefault="00FC342F" w:rsidP="00FC34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Seasonal tracking </w:t>
      </w:r>
    </w:p>
    <w:p w14:paraId="3148F0D0" w14:textId="77777777" w:rsidR="00FC342F" w:rsidRPr="00FC342F" w:rsidRDefault="00FC342F" w:rsidP="00FC34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Social coordination </w:t>
      </w:r>
    </w:p>
    <w:p w14:paraId="564B2717" w14:textId="77777777" w:rsidR="00FC342F" w:rsidRPr="00FC342F" w:rsidRDefault="00FC342F" w:rsidP="00FC34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Ritual timing </w:t>
      </w:r>
    </w:p>
    <w:p w14:paraId="1C277ACB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The CST framework provides a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non-invasive interpretive layer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, allowing:</w:t>
      </w:r>
    </w:p>
    <w:p w14:paraId="319E84A1" w14:textId="77777777" w:rsidR="00FC342F" w:rsidRPr="00FC342F" w:rsidRDefault="00FC342F" w:rsidP="00FC34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Time-based modeling </w:t>
      </w:r>
    </w:p>
    <w:p w14:paraId="2952E7E3" w14:textId="77777777" w:rsidR="00FC342F" w:rsidRPr="00FC342F" w:rsidRDefault="00FC342F" w:rsidP="00FC34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Synchronization analysis </w:t>
      </w:r>
    </w:p>
    <w:p w14:paraId="6C96A94F" w14:textId="77777777" w:rsidR="00FC342F" w:rsidRPr="00FC342F" w:rsidRDefault="00FC342F" w:rsidP="00FC34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Comparative site evaluation </w:t>
      </w:r>
    </w:p>
    <w:p w14:paraId="6AEA1E3A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without contradicting established archaeological data.</w:t>
      </w:r>
    </w:p>
    <w:p w14:paraId="5567337D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10. Limitations</w:t>
      </w:r>
    </w:p>
    <w:p w14:paraId="732F1893" w14:textId="77777777" w:rsidR="00FC342F" w:rsidRPr="00FC342F" w:rsidRDefault="00FC342F" w:rsidP="00FC34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No direct written records from the period </w:t>
      </w:r>
    </w:p>
    <w:p w14:paraId="70CEBB42" w14:textId="77777777" w:rsidR="00FC342F" w:rsidRPr="00FC342F" w:rsidRDefault="00FC342F" w:rsidP="00FC34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Astronomical alignments remain partially speculative </w:t>
      </w:r>
    </w:p>
    <w:p w14:paraId="45F2B68E" w14:textId="77777777" w:rsidR="00FC342F" w:rsidRPr="00FC342F" w:rsidRDefault="00FC342F" w:rsidP="00FC34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Symbol interpretation is not universally agreed upon </w:t>
      </w:r>
    </w:p>
    <w:p w14:paraId="0B524EDD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CST should therefore be treated as:</w:t>
      </w:r>
    </w:p>
    <w:p w14:paraId="6FA82FA0" w14:textId="64943F4F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testable interpretive framework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, not a confirmed explanation</w:t>
      </w:r>
    </w:p>
    <w:p w14:paraId="5A952A93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11. Conclusion</w:t>
      </w:r>
    </w:p>
    <w:p w14:paraId="278F1F92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Tepe and Karahan Tepe represent a significant transition in human development, marking the emergence of large-scale coordinated construction prior to fully developed agriculture.</w:t>
      </w:r>
    </w:p>
    <w:p w14:paraId="38BAF988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While traditionally interpreted as ritual sites, their structural organization and geographic relationships suggest the possibility of early </w:t>
      </w:r>
      <w:r w:rsidRPr="00FC342F">
        <w:rPr>
          <w:rFonts w:ascii="Times New Roman" w:eastAsia="Times New Roman" w:hAnsi="Times New Roman" w:cs="Times New Roman"/>
          <w:b/>
          <w:bCs/>
          <w:sz w:val="24"/>
          <w:szCs w:val="24"/>
        </w:rPr>
        <w:t>timekeeping and synchronization systems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03B9E8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The CST framework offers a structured way to explore this hypothesis, emphasizing:</w:t>
      </w:r>
    </w:p>
    <w:p w14:paraId="420001E0" w14:textId="77777777" w:rsidR="00FC342F" w:rsidRPr="00FC342F" w:rsidRDefault="00FC342F" w:rsidP="00FC34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Measurable timing relationships </w:t>
      </w:r>
    </w:p>
    <w:p w14:paraId="1554CD50" w14:textId="77777777" w:rsidR="00FC342F" w:rsidRPr="00FC342F" w:rsidRDefault="00FC342F" w:rsidP="00FC34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Alignment with celestial cycles </w:t>
      </w:r>
    </w:p>
    <w:p w14:paraId="71552EDB" w14:textId="77777777" w:rsidR="00FC342F" w:rsidRPr="00FC342F" w:rsidRDefault="00FC342F" w:rsidP="00FC34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Multi-site synchronization </w:t>
      </w:r>
    </w:p>
    <w:p w14:paraId="6BF37B9F" w14:textId="77777777" w:rsidR="00FC342F" w:rsidRPr="00FC342F" w:rsidRDefault="00FC342F" w:rsidP="00FC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>Future work should focus on:</w:t>
      </w:r>
    </w:p>
    <w:p w14:paraId="76DA6A89" w14:textId="77777777" w:rsidR="00FC342F" w:rsidRPr="00FC342F" w:rsidRDefault="00FC342F" w:rsidP="00FC34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High-precision astronomical simulations </w:t>
      </w:r>
    </w:p>
    <w:p w14:paraId="3435F9A3" w14:textId="77777777" w:rsidR="00FC342F" w:rsidRPr="00FC342F" w:rsidRDefault="00FC342F" w:rsidP="00FC34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GIS-based alignment mapping </w:t>
      </w:r>
    </w:p>
    <w:p w14:paraId="15B6C366" w14:textId="77777777" w:rsidR="00FC342F" w:rsidRPr="00FC342F" w:rsidRDefault="00FC342F" w:rsidP="00FC34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Expanded excavation data across the Taş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Tepeler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region </w:t>
      </w:r>
    </w:p>
    <w:p w14:paraId="168B1327" w14:textId="77777777" w:rsidR="00FC342F" w:rsidRPr="00FC342F" w:rsidRDefault="00FC342F" w:rsidP="00FC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42F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706A8BBE" w14:textId="77777777" w:rsidR="00FC342F" w:rsidRPr="00FC342F" w:rsidRDefault="00FC342F" w:rsidP="00FC34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Dietrich, O., Heun, M.,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Notroff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, J., Schmidt, K., &amp;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Zarnkow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, M. (2012). The role of cult and feasting in the emergence of Neolithic communities. </w:t>
      </w:r>
      <w:r w:rsidRPr="00FC342F">
        <w:rPr>
          <w:rFonts w:ascii="Times New Roman" w:eastAsia="Times New Roman" w:hAnsi="Times New Roman" w:cs="Times New Roman"/>
          <w:i/>
          <w:iCs/>
          <w:sz w:val="24"/>
          <w:szCs w:val="24"/>
        </w:rPr>
        <w:t>Antiquity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27FEA4A" w14:textId="77777777" w:rsidR="00FC342F" w:rsidRPr="00FC342F" w:rsidRDefault="00FC342F" w:rsidP="00FC34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Karul, N. (2021). Karahan Tepe: A new cultural center in the Urfa region. </w:t>
      </w:r>
      <w:r w:rsidRPr="00FC342F">
        <w:rPr>
          <w:rFonts w:ascii="Times New Roman" w:eastAsia="Times New Roman" w:hAnsi="Times New Roman" w:cs="Times New Roman"/>
          <w:i/>
          <w:iCs/>
          <w:sz w:val="24"/>
          <w:szCs w:val="24"/>
        </w:rPr>
        <w:t>Turkish Archaeology Reports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4BF2DF" w14:textId="77777777" w:rsidR="00FC342F" w:rsidRPr="00FC342F" w:rsidRDefault="00FC342F" w:rsidP="00FC34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Magli, G. (2016).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Archaeoastronomy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Tepe. </w:t>
      </w:r>
      <w:r w:rsidRPr="00FC342F">
        <w:rPr>
          <w:rFonts w:ascii="Times New Roman" w:eastAsia="Times New Roman" w:hAnsi="Times New Roman" w:cs="Times New Roman"/>
          <w:i/>
          <w:iCs/>
          <w:sz w:val="24"/>
          <w:szCs w:val="24"/>
        </w:rPr>
        <w:t>Mediterranean Archaeology and Archaeometry</w:t>
      </w: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B1349F" w14:textId="77777777" w:rsidR="00FC342F" w:rsidRPr="00FC342F" w:rsidRDefault="00FC342F" w:rsidP="00FC34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Schmidt, K. (2010).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Tepe – the Stone Age sanctuaries. </w:t>
      </w:r>
      <w:r w:rsidRPr="00FC342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Documenta </w:t>
      </w:r>
      <w:proofErr w:type="spellStart"/>
      <w:r w:rsidRPr="00FC342F">
        <w:rPr>
          <w:rFonts w:ascii="Times New Roman" w:eastAsia="Times New Roman" w:hAnsi="Times New Roman" w:cs="Times New Roman"/>
          <w:i/>
          <w:iCs/>
          <w:sz w:val="24"/>
          <w:szCs w:val="24"/>
        </w:rPr>
        <w:t>Praehistorica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3C88E8" w14:textId="77777777" w:rsidR="00FC342F" w:rsidRDefault="00FC342F" w:rsidP="00FC34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UNESCO World Heritage Centre. </w:t>
      </w:r>
      <w:proofErr w:type="spellStart"/>
      <w:r w:rsidRPr="00FC342F">
        <w:rPr>
          <w:rFonts w:ascii="Times New Roman" w:eastAsia="Times New Roman" w:hAnsi="Times New Roman" w:cs="Times New Roman"/>
          <w:sz w:val="24"/>
          <w:szCs w:val="24"/>
        </w:rPr>
        <w:t>Göbekli</w:t>
      </w:r>
      <w:proofErr w:type="spellEnd"/>
      <w:r w:rsidRPr="00FC342F">
        <w:rPr>
          <w:rFonts w:ascii="Times New Roman" w:eastAsia="Times New Roman" w:hAnsi="Times New Roman" w:cs="Times New Roman"/>
          <w:sz w:val="24"/>
          <w:szCs w:val="24"/>
        </w:rPr>
        <w:t xml:space="preserve"> Tepe listing.</w:t>
      </w:r>
    </w:p>
    <w:p w14:paraId="598BBB26" w14:textId="77777777" w:rsidR="006D46BB" w:rsidRDefault="006D46BB" w:rsidP="006D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343BFD" w14:textId="77777777" w:rsidR="006D46BB" w:rsidRDefault="006D46BB" w:rsidP="006D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73FD8B" w14:textId="77777777" w:rsidR="006D46BB" w:rsidRDefault="006D46BB" w:rsidP="006D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AB9F6F" w14:textId="77777777" w:rsidR="006D46BB" w:rsidRDefault="006D46BB" w:rsidP="006D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1C7F4" w14:textId="77777777" w:rsidR="006D46BB" w:rsidRDefault="006D46BB" w:rsidP="006D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6C7DA" w14:textId="77777777" w:rsidR="006D46BB" w:rsidRPr="006D46BB" w:rsidRDefault="006D46BB" w:rsidP="006D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6D46BB">
        <w:rPr>
          <w:rFonts w:ascii="Times New Roman" w:eastAsia="Times New Roman" w:hAnsi="Times New Roman" w:cs="Times New Roman"/>
          <w:b/>
          <w:bCs/>
          <w:kern w:val="36"/>
        </w:rPr>
        <w:lastRenderedPageBreak/>
        <w:t>Theoretical CST Line-of-Sight Chronology Table</w:t>
      </w:r>
    </w:p>
    <w:p w14:paraId="704DE1DD" w14:textId="77777777" w:rsidR="006D46BB" w:rsidRPr="006D46BB" w:rsidRDefault="006D46BB" w:rsidP="006D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D46BB">
        <w:rPr>
          <w:rFonts w:ascii="Times New Roman" w:eastAsia="Times New Roman" w:hAnsi="Times New Roman" w:cs="Times New Roman"/>
          <w:i/>
          <w:iCs/>
        </w:rPr>
        <w:t>Cities and pyramids as sky-aligned timing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879"/>
        <w:gridCol w:w="1121"/>
        <w:gridCol w:w="1191"/>
        <w:gridCol w:w="1185"/>
        <w:gridCol w:w="1333"/>
        <w:gridCol w:w="1807"/>
      </w:tblGrid>
      <w:tr w:rsidR="006D46BB" w:rsidRPr="006D46BB" w14:paraId="0F671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EDC29" w14:textId="77777777" w:rsidR="006D46BB" w:rsidRPr="006D46BB" w:rsidRDefault="006D46BB" w:rsidP="006D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D46BB">
              <w:rPr>
                <w:rFonts w:ascii="Times New Roman" w:eastAsia="Times New Roman" w:hAnsi="Times New Roman" w:cs="Times New Roman"/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5EB0FAEB" w14:textId="77777777" w:rsidR="006D46BB" w:rsidRPr="006D46BB" w:rsidRDefault="006D46BB" w:rsidP="006D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D46BB">
              <w:rPr>
                <w:rFonts w:ascii="Times New Roman" w:eastAsia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4696E41C" w14:textId="77777777" w:rsidR="006D46BB" w:rsidRPr="006D46BB" w:rsidRDefault="006D46BB" w:rsidP="006D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D46BB">
              <w:rPr>
                <w:rFonts w:ascii="Times New Roman" w:eastAsia="Times New Roman" w:hAnsi="Times New Roman" w:cs="Times New Roman"/>
                <w:b/>
                <w:bCs/>
              </w:rPr>
              <w:t>Alignment Type</w:t>
            </w:r>
          </w:p>
        </w:tc>
        <w:tc>
          <w:tcPr>
            <w:tcW w:w="0" w:type="auto"/>
            <w:vAlign w:val="center"/>
            <w:hideMark/>
          </w:tcPr>
          <w:p w14:paraId="25B9DEBD" w14:textId="77777777" w:rsidR="006D46BB" w:rsidRPr="006D46BB" w:rsidRDefault="006D46BB" w:rsidP="006D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D46BB">
              <w:rPr>
                <w:rFonts w:ascii="Times New Roman" w:eastAsia="Times New Roman" w:hAnsi="Times New Roman" w:cs="Times New Roman"/>
                <w:b/>
                <w:bCs/>
              </w:rPr>
              <w:t>Start Epoch (CST – Alignment Lock)</w:t>
            </w:r>
          </w:p>
        </w:tc>
        <w:tc>
          <w:tcPr>
            <w:tcW w:w="0" w:type="auto"/>
            <w:vAlign w:val="center"/>
            <w:hideMark/>
          </w:tcPr>
          <w:p w14:paraId="66A2C6F5" w14:textId="77777777" w:rsidR="006D46BB" w:rsidRPr="006D46BB" w:rsidRDefault="006D46BB" w:rsidP="006D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D46BB">
              <w:rPr>
                <w:rFonts w:ascii="Times New Roman" w:eastAsia="Times New Roman" w:hAnsi="Times New Roman" w:cs="Times New Roman"/>
                <w:b/>
                <w:bCs/>
              </w:rPr>
              <w:t>End Epoch (CST – Alignment Drift)</w:t>
            </w:r>
          </w:p>
        </w:tc>
        <w:tc>
          <w:tcPr>
            <w:tcW w:w="0" w:type="auto"/>
            <w:vAlign w:val="center"/>
            <w:hideMark/>
          </w:tcPr>
          <w:p w14:paraId="0DB79E17" w14:textId="77777777" w:rsidR="006D46BB" w:rsidRPr="006D46BB" w:rsidRDefault="006D46BB" w:rsidP="006D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D46BB">
              <w:rPr>
                <w:rFonts w:ascii="Times New Roman" w:eastAsia="Times New Roman" w:hAnsi="Times New Roman" w:cs="Times New Roman"/>
                <w:b/>
                <w:bCs/>
              </w:rPr>
              <w:t>Duration (Theoretical)</w:t>
            </w:r>
          </w:p>
        </w:tc>
        <w:tc>
          <w:tcPr>
            <w:tcW w:w="0" w:type="auto"/>
            <w:vAlign w:val="center"/>
            <w:hideMark/>
          </w:tcPr>
          <w:p w14:paraId="5838A036" w14:textId="77777777" w:rsidR="006D46BB" w:rsidRPr="006D46BB" w:rsidRDefault="006D46BB" w:rsidP="006D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D46BB">
              <w:rPr>
                <w:rFonts w:ascii="Times New Roman" w:eastAsia="Times New Roman" w:hAnsi="Times New Roman" w:cs="Times New Roman"/>
                <w:b/>
                <w:bCs/>
              </w:rPr>
              <w:t>Interpretation</w:t>
            </w:r>
          </w:p>
        </w:tc>
      </w:tr>
      <w:tr w:rsidR="006D46BB" w:rsidRPr="006D46BB" w14:paraId="4093B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1A60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Great Pyramid of Giza</w:t>
            </w:r>
          </w:p>
        </w:tc>
        <w:tc>
          <w:tcPr>
            <w:tcW w:w="0" w:type="auto"/>
            <w:vAlign w:val="center"/>
            <w:hideMark/>
          </w:tcPr>
          <w:p w14:paraId="7A2A95E9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29.9792° N</w:t>
            </w:r>
          </w:p>
        </w:tc>
        <w:tc>
          <w:tcPr>
            <w:tcW w:w="0" w:type="auto"/>
            <w:vAlign w:val="center"/>
            <w:hideMark/>
          </w:tcPr>
          <w:p w14:paraId="4EC5FEF6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True Cardinal (North)</w:t>
            </w:r>
          </w:p>
        </w:tc>
        <w:tc>
          <w:tcPr>
            <w:tcW w:w="0" w:type="auto"/>
            <w:vAlign w:val="center"/>
            <w:hideMark/>
          </w:tcPr>
          <w:p w14:paraId="1CD2F75D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~2700 BCE</w:t>
            </w:r>
          </w:p>
        </w:tc>
        <w:tc>
          <w:tcPr>
            <w:tcW w:w="0" w:type="auto"/>
            <w:vAlign w:val="center"/>
            <w:hideMark/>
          </w:tcPr>
          <w:p w14:paraId="64687603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~2400 BCE</w:t>
            </w:r>
          </w:p>
        </w:tc>
        <w:tc>
          <w:tcPr>
            <w:tcW w:w="0" w:type="auto"/>
            <w:vAlign w:val="center"/>
            <w:hideMark/>
          </w:tcPr>
          <w:p w14:paraId="16843905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~300 years</w:t>
            </w:r>
          </w:p>
        </w:tc>
        <w:tc>
          <w:tcPr>
            <w:tcW w:w="0" w:type="auto"/>
            <w:vAlign w:val="center"/>
            <w:hideMark/>
          </w:tcPr>
          <w:p w14:paraId="698C25D1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 xml:space="preserve">Peak precision when circumpolar alignment (e.g., </w:t>
            </w:r>
            <w:proofErr w:type="spellStart"/>
            <w:r w:rsidRPr="006D46BB">
              <w:rPr>
                <w:rFonts w:ascii="Times New Roman" w:eastAsia="Times New Roman" w:hAnsi="Times New Roman" w:cs="Times New Roman"/>
              </w:rPr>
              <w:t>Thuban</w:t>
            </w:r>
            <w:proofErr w:type="spellEnd"/>
            <w:r w:rsidRPr="006D46BB">
              <w:rPr>
                <w:rFonts w:ascii="Times New Roman" w:eastAsia="Times New Roman" w:hAnsi="Times New Roman" w:cs="Times New Roman"/>
              </w:rPr>
              <w:t xml:space="preserve"> region) was most stable</w:t>
            </w:r>
          </w:p>
        </w:tc>
      </w:tr>
      <w:tr w:rsidR="006D46BB" w:rsidRPr="006D46BB" w14:paraId="3F047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E85D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D46BB">
              <w:rPr>
                <w:rFonts w:ascii="Times New Roman" w:eastAsia="Times New Roman" w:hAnsi="Times New Roman" w:cs="Times New Roman"/>
              </w:rPr>
              <w:t>Göbekli</w:t>
            </w:r>
            <w:proofErr w:type="spellEnd"/>
            <w:r w:rsidRPr="006D46BB">
              <w:rPr>
                <w:rFonts w:ascii="Times New Roman" w:eastAsia="Times New Roman" w:hAnsi="Times New Roman" w:cs="Times New Roman"/>
              </w:rPr>
              <w:t xml:space="preserve"> Tepe</w:t>
            </w:r>
          </w:p>
        </w:tc>
        <w:tc>
          <w:tcPr>
            <w:tcW w:w="0" w:type="auto"/>
            <w:vAlign w:val="center"/>
            <w:hideMark/>
          </w:tcPr>
          <w:p w14:paraId="325F4660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37.223° N</w:t>
            </w:r>
          </w:p>
        </w:tc>
        <w:tc>
          <w:tcPr>
            <w:tcW w:w="0" w:type="auto"/>
            <w:vAlign w:val="center"/>
            <w:hideMark/>
          </w:tcPr>
          <w:p w14:paraId="0C1B9DD4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South / Southeast sky</w:t>
            </w:r>
          </w:p>
        </w:tc>
        <w:tc>
          <w:tcPr>
            <w:tcW w:w="0" w:type="auto"/>
            <w:vAlign w:val="center"/>
            <w:hideMark/>
          </w:tcPr>
          <w:p w14:paraId="1A829666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~10,500 BCE</w:t>
            </w:r>
          </w:p>
        </w:tc>
        <w:tc>
          <w:tcPr>
            <w:tcW w:w="0" w:type="auto"/>
            <w:vAlign w:val="center"/>
            <w:hideMark/>
          </w:tcPr>
          <w:p w14:paraId="1ED08C5E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~8,500 BCE</w:t>
            </w:r>
          </w:p>
        </w:tc>
        <w:tc>
          <w:tcPr>
            <w:tcW w:w="0" w:type="auto"/>
            <w:vAlign w:val="center"/>
            <w:hideMark/>
          </w:tcPr>
          <w:p w14:paraId="41A5A64C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~2,000 years</w:t>
            </w:r>
          </w:p>
        </w:tc>
        <w:tc>
          <w:tcPr>
            <w:tcW w:w="0" w:type="auto"/>
            <w:vAlign w:val="center"/>
            <w:hideMark/>
          </w:tcPr>
          <w:p w14:paraId="0AE99BA3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 xml:space="preserve">Strong southern sky visibility window before </w:t>
            </w:r>
            <w:proofErr w:type="spellStart"/>
            <w:r w:rsidRPr="006D46BB">
              <w:rPr>
                <w:rFonts w:ascii="Times New Roman" w:eastAsia="Times New Roman" w:hAnsi="Times New Roman" w:cs="Times New Roman"/>
              </w:rPr>
              <w:t>precessional</w:t>
            </w:r>
            <w:proofErr w:type="spellEnd"/>
            <w:r w:rsidRPr="006D46BB">
              <w:rPr>
                <w:rFonts w:ascii="Times New Roman" w:eastAsia="Times New Roman" w:hAnsi="Times New Roman" w:cs="Times New Roman"/>
              </w:rPr>
              <w:t xml:space="preserve"> shift</w:t>
            </w:r>
          </w:p>
        </w:tc>
      </w:tr>
      <w:tr w:rsidR="006D46BB" w:rsidRPr="006D46BB" w14:paraId="1D99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498D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Karahan Tepe</w:t>
            </w:r>
          </w:p>
        </w:tc>
        <w:tc>
          <w:tcPr>
            <w:tcW w:w="0" w:type="auto"/>
            <w:vAlign w:val="center"/>
            <w:hideMark/>
          </w:tcPr>
          <w:p w14:paraId="1DDB78A5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37.091° N</w:t>
            </w:r>
          </w:p>
        </w:tc>
        <w:tc>
          <w:tcPr>
            <w:tcW w:w="0" w:type="auto"/>
            <w:vAlign w:val="center"/>
            <w:hideMark/>
          </w:tcPr>
          <w:p w14:paraId="07B0244B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Equinox / Solar transition</w:t>
            </w:r>
          </w:p>
        </w:tc>
        <w:tc>
          <w:tcPr>
            <w:tcW w:w="0" w:type="auto"/>
            <w:vAlign w:val="center"/>
            <w:hideMark/>
          </w:tcPr>
          <w:p w14:paraId="0B6CF644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~9,500 BCE</w:t>
            </w:r>
          </w:p>
        </w:tc>
        <w:tc>
          <w:tcPr>
            <w:tcW w:w="0" w:type="auto"/>
            <w:vAlign w:val="center"/>
            <w:hideMark/>
          </w:tcPr>
          <w:p w14:paraId="6E3037D6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~7,500 BCE</w:t>
            </w:r>
          </w:p>
        </w:tc>
        <w:tc>
          <w:tcPr>
            <w:tcW w:w="0" w:type="auto"/>
            <w:vAlign w:val="center"/>
            <w:hideMark/>
          </w:tcPr>
          <w:p w14:paraId="4ADB023B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~2,000 years</w:t>
            </w:r>
          </w:p>
        </w:tc>
        <w:tc>
          <w:tcPr>
            <w:tcW w:w="0" w:type="auto"/>
            <w:vAlign w:val="center"/>
            <w:hideMark/>
          </w:tcPr>
          <w:p w14:paraId="4EF16414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Stable equinox tracking window during early Neolithic transition</w:t>
            </w:r>
          </w:p>
        </w:tc>
      </w:tr>
      <w:tr w:rsidR="006D46BB" w:rsidRPr="006D46BB" w14:paraId="4C676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BF55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Stonehenge</w:t>
            </w:r>
          </w:p>
        </w:tc>
        <w:tc>
          <w:tcPr>
            <w:tcW w:w="0" w:type="auto"/>
            <w:vAlign w:val="center"/>
            <w:hideMark/>
          </w:tcPr>
          <w:p w14:paraId="72C6F080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51.1789° N</w:t>
            </w:r>
          </w:p>
        </w:tc>
        <w:tc>
          <w:tcPr>
            <w:tcW w:w="0" w:type="auto"/>
            <w:vAlign w:val="center"/>
            <w:hideMark/>
          </w:tcPr>
          <w:p w14:paraId="5505496C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Summer Solstice Sunrise</w:t>
            </w:r>
          </w:p>
        </w:tc>
        <w:tc>
          <w:tcPr>
            <w:tcW w:w="0" w:type="auto"/>
            <w:vAlign w:val="center"/>
            <w:hideMark/>
          </w:tcPr>
          <w:p w14:paraId="46DE95DE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~3000 BCE</w:t>
            </w:r>
          </w:p>
        </w:tc>
        <w:tc>
          <w:tcPr>
            <w:tcW w:w="0" w:type="auto"/>
            <w:vAlign w:val="center"/>
            <w:hideMark/>
          </w:tcPr>
          <w:p w14:paraId="6428331F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~2000 BCE</w:t>
            </w:r>
          </w:p>
        </w:tc>
        <w:tc>
          <w:tcPr>
            <w:tcW w:w="0" w:type="auto"/>
            <w:vAlign w:val="center"/>
            <w:hideMark/>
          </w:tcPr>
          <w:p w14:paraId="753E256B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~1,000 years</w:t>
            </w:r>
          </w:p>
        </w:tc>
        <w:tc>
          <w:tcPr>
            <w:tcW w:w="0" w:type="auto"/>
            <w:vAlign w:val="center"/>
            <w:hideMark/>
          </w:tcPr>
          <w:p w14:paraId="6C2E6F0E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Long-term solar stability with gradual cultural evolution</w:t>
            </w:r>
          </w:p>
        </w:tc>
      </w:tr>
      <w:tr w:rsidR="006D46BB" w:rsidRPr="006D46BB" w14:paraId="55357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9EF1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Teotihuacan</w:t>
            </w:r>
          </w:p>
        </w:tc>
        <w:tc>
          <w:tcPr>
            <w:tcW w:w="0" w:type="auto"/>
            <w:vAlign w:val="center"/>
            <w:hideMark/>
          </w:tcPr>
          <w:p w14:paraId="5F4E4809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19.6925° N</w:t>
            </w:r>
          </w:p>
        </w:tc>
        <w:tc>
          <w:tcPr>
            <w:tcW w:w="0" w:type="auto"/>
            <w:vAlign w:val="center"/>
            <w:hideMark/>
          </w:tcPr>
          <w:p w14:paraId="592E5BDB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Offset Grid (~15.5°)</w:t>
            </w:r>
          </w:p>
        </w:tc>
        <w:tc>
          <w:tcPr>
            <w:tcW w:w="0" w:type="auto"/>
            <w:vAlign w:val="center"/>
            <w:hideMark/>
          </w:tcPr>
          <w:p w14:paraId="6286D18C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~200 BCE</w:t>
            </w:r>
          </w:p>
        </w:tc>
        <w:tc>
          <w:tcPr>
            <w:tcW w:w="0" w:type="auto"/>
            <w:vAlign w:val="center"/>
            <w:hideMark/>
          </w:tcPr>
          <w:p w14:paraId="6921E4C3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~500 CE</w:t>
            </w:r>
          </w:p>
        </w:tc>
        <w:tc>
          <w:tcPr>
            <w:tcW w:w="0" w:type="auto"/>
            <w:vAlign w:val="center"/>
            <w:hideMark/>
          </w:tcPr>
          <w:p w14:paraId="5452052C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~700 years</w:t>
            </w:r>
          </w:p>
        </w:tc>
        <w:tc>
          <w:tcPr>
            <w:tcW w:w="0" w:type="auto"/>
            <w:vAlign w:val="center"/>
            <w:hideMark/>
          </w:tcPr>
          <w:p w14:paraId="699D5E3F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Zenith + stellar (Pleiades) synchronization window</w:t>
            </w:r>
          </w:p>
        </w:tc>
      </w:tr>
      <w:tr w:rsidR="006D46BB" w:rsidRPr="006D46BB" w14:paraId="7394D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2F85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D46BB">
              <w:rPr>
                <w:rFonts w:ascii="Times New Roman" w:eastAsia="Times New Roman" w:hAnsi="Times New Roman" w:cs="Times New Roman"/>
              </w:rPr>
              <w:t>Chichén</w:t>
            </w:r>
            <w:proofErr w:type="spellEnd"/>
            <w:r w:rsidRPr="006D46B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46BB">
              <w:rPr>
                <w:rFonts w:ascii="Times New Roman" w:eastAsia="Times New Roman" w:hAnsi="Times New Roman" w:cs="Times New Roman"/>
              </w:rPr>
              <w:t>Itzá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80BEE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20.6843° N</w:t>
            </w:r>
          </w:p>
        </w:tc>
        <w:tc>
          <w:tcPr>
            <w:tcW w:w="0" w:type="auto"/>
            <w:vAlign w:val="center"/>
            <w:hideMark/>
          </w:tcPr>
          <w:p w14:paraId="256EAB2A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Equinox solar shadow</w:t>
            </w:r>
          </w:p>
        </w:tc>
        <w:tc>
          <w:tcPr>
            <w:tcW w:w="0" w:type="auto"/>
            <w:vAlign w:val="center"/>
            <w:hideMark/>
          </w:tcPr>
          <w:p w14:paraId="21A92DEC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~800 CE</w:t>
            </w:r>
          </w:p>
        </w:tc>
        <w:tc>
          <w:tcPr>
            <w:tcW w:w="0" w:type="auto"/>
            <w:vAlign w:val="center"/>
            <w:hideMark/>
          </w:tcPr>
          <w:p w14:paraId="72536B08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~1200 CE</w:t>
            </w:r>
          </w:p>
        </w:tc>
        <w:tc>
          <w:tcPr>
            <w:tcW w:w="0" w:type="auto"/>
            <w:vAlign w:val="center"/>
            <w:hideMark/>
          </w:tcPr>
          <w:p w14:paraId="053E09DF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~400 years</w:t>
            </w:r>
          </w:p>
        </w:tc>
        <w:tc>
          <w:tcPr>
            <w:tcW w:w="0" w:type="auto"/>
            <w:vAlign w:val="center"/>
            <w:hideMark/>
          </w:tcPr>
          <w:p w14:paraId="380D5C25" w14:textId="3AF02D96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 xml:space="preserve">Equinox shadow </w:t>
            </w:r>
            <w:r w:rsidRPr="006D46BB">
              <w:rPr>
                <w:rFonts w:ascii="Times New Roman" w:eastAsia="Times New Roman" w:hAnsi="Times New Roman" w:cs="Times New Roman"/>
              </w:rPr>
              <w:t>effects</w:t>
            </w:r>
            <w:r w:rsidRPr="006D46BB">
              <w:rPr>
                <w:rFonts w:ascii="Times New Roman" w:eastAsia="Times New Roman" w:hAnsi="Times New Roman" w:cs="Times New Roman"/>
              </w:rPr>
              <w:t xml:space="preserve"> most culturally active period</w:t>
            </w:r>
          </w:p>
        </w:tc>
      </w:tr>
      <w:tr w:rsidR="006D46BB" w:rsidRPr="006D46BB" w14:paraId="070B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69BC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Machu Picchu</w:t>
            </w:r>
          </w:p>
        </w:tc>
        <w:tc>
          <w:tcPr>
            <w:tcW w:w="0" w:type="auto"/>
            <w:vAlign w:val="center"/>
            <w:hideMark/>
          </w:tcPr>
          <w:p w14:paraId="7CFA213E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13.1631° S</w:t>
            </w:r>
          </w:p>
        </w:tc>
        <w:tc>
          <w:tcPr>
            <w:tcW w:w="0" w:type="auto"/>
            <w:vAlign w:val="center"/>
            <w:hideMark/>
          </w:tcPr>
          <w:p w14:paraId="22DA4076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Solstice horizon</w:t>
            </w:r>
          </w:p>
        </w:tc>
        <w:tc>
          <w:tcPr>
            <w:tcW w:w="0" w:type="auto"/>
            <w:vAlign w:val="center"/>
            <w:hideMark/>
          </w:tcPr>
          <w:p w14:paraId="29E7A8F0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~1400 CE</w:t>
            </w:r>
          </w:p>
        </w:tc>
        <w:tc>
          <w:tcPr>
            <w:tcW w:w="0" w:type="auto"/>
            <w:vAlign w:val="center"/>
            <w:hideMark/>
          </w:tcPr>
          <w:p w14:paraId="3748D043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~1550 CE</w:t>
            </w:r>
          </w:p>
        </w:tc>
        <w:tc>
          <w:tcPr>
            <w:tcW w:w="0" w:type="auto"/>
            <w:vAlign w:val="center"/>
            <w:hideMark/>
          </w:tcPr>
          <w:p w14:paraId="7F6A6258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~150 years</w:t>
            </w:r>
          </w:p>
        </w:tc>
        <w:tc>
          <w:tcPr>
            <w:tcW w:w="0" w:type="auto"/>
            <w:vAlign w:val="center"/>
            <w:hideMark/>
          </w:tcPr>
          <w:p w14:paraId="2F4BB92A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Short high-precision solar-lunar imperial alignment phase</w:t>
            </w:r>
          </w:p>
        </w:tc>
      </w:tr>
      <w:tr w:rsidR="006D46BB" w:rsidRPr="006D46BB" w14:paraId="1727D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E03D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Angkor Wat</w:t>
            </w:r>
          </w:p>
        </w:tc>
        <w:tc>
          <w:tcPr>
            <w:tcW w:w="0" w:type="auto"/>
            <w:vAlign w:val="center"/>
            <w:hideMark/>
          </w:tcPr>
          <w:p w14:paraId="3E33706F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13.4125° N</w:t>
            </w:r>
          </w:p>
        </w:tc>
        <w:tc>
          <w:tcPr>
            <w:tcW w:w="0" w:type="auto"/>
            <w:vAlign w:val="center"/>
            <w:hideMark/>
          </w:tcPr>
          <w:p w14:paraId="566D17DB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Equinox sunset</w:t>
            </w:r>
          </w:p>
        </w:tc>
        <w:tc>
          <w:tcPr>
            <w:tcW w:w="0" w:type="auto"/>
            <w:vAlign w:val="center"/>
            <w:hideMark/>
          </w:tcPr>
          <w:p w14:paraId="32391BFA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~1100 CE</w:t>
            </w:r>
          </w:p>
        </w:tc>
        <w:tc>
          <w:tcPr>
            <w:tcW w:w="0" w:type="auto"/>
            <w:vAlign w:val="center"/>
            <w:hideMark/>
          </w:tcPr>
          <w:p w14:paraId="53F3237B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~1300 CE</w:t>
            </w:r>
          </w:p>
        </w:tc>
        <w:tc>
          <w:tcPr>
            <w:tcW w:w="0" w:type="auto"/>
            <w:vAlign w:val="center"/>
            <w:hideMark/>
          </w:tcPr>
          <w:p w14:paraId="31A50179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~200 years</w:t>
            </w:r>
          </w:p>
        </w:tc>
        <w:tc>
          <w:tcPr>
            <w:tcW w:w="0" w:type="auto"/>
            <w:vAlign w:val="center"/>
            <w:hideMark/>
          </w:tcPr>
          <w:p w14:paraId="223645FE" w14:textId="77777777" w:rsidR="006D46BB" w:rsidRPr="006D46BB" w:rsidRDefault="006D46BB" w:rsidP="006D46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46BB">
              <w:rPr>
                <w:rFonts w:ascii="Times New Roman" w:eastAsia="Times New Roman" w:hAnsi="Times New Roman" w:cs="Times New Roman"/>
              </w:rPr>
              <w:t>Balanced solar alignment during peak Khmer cosmology</w:t>
            </w:r>
          </w:p>
        </w:tc>
      </w:tr>
    </w:tbl>
    <w:p w14:paraId="31F9DADA" w14:textId="77777777" w:rsidR="006D46BB" w:rsidRPr="006D46BB" w:rsidRDefault="006D46BB" w:rsidP="006D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1348DEE8" w14:textId="77777777" w:rsidR="006D46BB" w:rsidRPr="00FC342F" w:rsidRDefault="006D46BB" w:rsidP="006D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sectPr w:rsidR="006D46BB" w:rsidRPr="00FC34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83424"/>
    <w:multiLevelType w:val="multilevel"/>
    <w:tmpl w:val="1770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D7411D"/>
    <w:multiLevelType w:val="multilevel"/>
    <w:tmpl w:val="91D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A33A7"/>
    <w:multiLevelType w:val="multilevel"/>
    <w:tmpl w:val="976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24738"/>
    <w:multiLevelType w:val="multilevel"/>
    <w:tmpl w:val="F960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27AF8"/>
    <w:multiLevelType w:val="multilevel"/>
    <w:tmpl w:val="829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07B5B"/>
    <w:multiLevelType w:val="multilevel"/>
    <w:tmpl w:val="2F7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01983"/>
    <w:multiLevelType w:val="multilevel"/>
    <w:tmpl w:val="D24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23E00"/>
    <w:multiLevelType w:val="multilevel"/>
    <w:tmpl w:val="B38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E5F57"/>
    <w:multiLevelType w:val="multilevel"/>
    <w:tmpl w:val="B3D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C1A33"/>
    <w:multiLevelType w:val="multilevel"/>
    <w:tmpl w:val="9862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608A0"/>
    <w:multiLevelType w:val="multilevel"/>
    <w:tmpl w:val="09B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3089A"/>
    <w:multiLevelType w:val="multilevel"/>
    <w:tmpl w:val="727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91E73"/>
    <w:multiLevelType w:val="multilevel"/>
    <w:tmpl w:val="BE2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072DE"/>
    <w:multiLevelType w:val="multilevel"/>
    <w:tmpl w:val="0D3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54213"/>
    <w:multiLevelType w:val="multilevel"/>
    <w:tmpl w:val="234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0413C"/>
    <w:multiLevelType w:val="multilevel"/>
    <w:tmpl w:val="C9F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95EF7"/>
    <w:multiLevelType w:val="multilevel"/>
    <w:tmpl w:val="D1B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22365"/>
    <w:multiLevelType w:val="multilevel"/>
    <w:tmpl w:val="26C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689922">
    <w:abstractNumId w:val="8"/>
  </w:num>
  <w:num w:numId="2" w16cid:durableId="1708408852">
    <w:abstractNumId w:val="6"/>
  </w:num>
  <w:num w:numId="3" w16cid:durableId="2101636738">
    <w:abstractNumId w:val="5"/>
  </w:num>
  <w:num w:numId="4" w16cid:durableId="296229436">
    <w:abstractNumId w:val="4"/>
  </w:num>
  <w:num w:numId="5" w16cid:durableId="376635466">
    <w:abstractNumId w:val="7"/>
  </w:num>
  <w:num w:numId="6" w16cid:durableId="164440025">
    <w:abstractNumId w:val="3"/>
  </w:num>
  <w:num w:numId="7" w16cid:durableId="369302878">
    <w:abstractNumId w:val="2"/>
  </w:num>
  <w:num w:numId="8" w16cid:durableId="527069162">
    <w:abstractNumId w:val="1"/>
  </w:num>
  <w:num w:numId="9" w16cid:durableId="1115058591">
    <w:abstractNumId w:val="0"/>
  </w:num>
  <w:num w:numId="10" w16cid:durableId="449126345">
    <w:abstractNumId w:val="9"/>
  </w:num>
  <w:num w:numId="11" w16cid:durableId="204414603">
    <w:abstractNumId w:val="11"/>
  </w:num>
  <w:num w:numId="12" w16cid:durableId="353729299">
    <w:abstractNumId w:val="25"/>
  </w:num>
  <w:num w:numId="13" w16cid:durableId="249241386">
    <w:abstractNumId w:val="21"/>
  </w:num>
  <w:num w:numId="14" w16cid:durableId="1956206270">
    <w:abstractNumId w:val="19"/>
  </w:num>
  <w:num w:numId="15" w16cid:durableId="1234700004">
    <w:abstractNumId w:val="26"/>
  </w:num>
  <w:num w:numId="16" w16cid:durableId="365521984">
    <w:abstractNumId w:val="10"/>
  </w:num>
  <w:num w:numId="17" w16cid:durableId="1586183512">
    <w:abstractNumId w:val="16"/>
  </w:num>
  <w:num w:numId="18" w16cid:durableId="2048404551">
    <w:abstractNumId w:val="14"/>
  </w:num>
  <w:num w:numId="19" w16cid:durableId="2050566882">
    <w:abstractNumId w:val="22"/>
  </w:num>
  <w:num w:numId="20" w16cid:durableId="791753271">
    <w:abstractNumId w:val="23"/>
  </w:num>
  <w:num w:numId="21" w16cid:durableId="988635386">
    <w:abstractNumId w:val="15"/>
  </w:num>
  <w:num w:numId="22" w16cid:durableId="1679119323">
    <w:abstractNumId w:val="13"/>
  </w:num>
  <w:num w:numId="23" w16cid:durableId="1325932746">
    <w:abstractNumId w:val="20"/>
  </w:num>
  <w:num w:numId="24" w16cid:durableId="420687895">
    <w:abstractNumId w:val="18"/>
  </w:num>
  <w:num w:numId="25" w16cid:durableId="1653408644">
    <w:abstractNumId w:val="17"/>
  </w:num>
  <w:num w:numId="26" w16cid:durableId="794132471">
    <w:abstractNumId w:val="24"/>
  </w:num>
  <w:num w:numId="27" w16cid:durableId="11974237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220"/>
    <w:rsid w:val="0015074B"/>
    <w:rsid w:val="00161801"/>
    <w:rsid w:val="0029639D"/>
    <w:rsid w:val="00326F90"/>
    <w:rsid w:val="006D46BB"/>
    <w:rsid w:val="00AA1D8D"/>
    <w:rsid w:val="00B47730"/>
    <w:rsid w:val="00CB0664"/>
    <w:rsid w:val="00FC3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6C85E"/>
  <w14:defaultImageDpi w14:val="300"/>
  <w15:docId w15:val="{86EA6DD6-073F-4D67-9BD7-73AAFC6A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1140</Words>
  <Characters>7358</Characters>
  <Application>Microsoft Office Word</Application>
  <DocSecurity>0</DocSecurity>
  <Lines>253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Gabino Casanova</cp:lastModifiedBy>
  <cp:revision>2</cp:revision>
  <dcterms:created xsi:type="dcterms:W3CDTF">2013-12-23T23:15:00Z</dcterms:created>
  <dcterms:modified xsi:type="dcterms:W3CDTF">2026-04-12T05:43:00Z</dcterms:modified>
  <cp:category/>
</cp:coreProperties>
</file>