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sz w:val="34"/>
          <w:szCs w:val="34"/>
        </w:rPr>
        <w:t xml:space="preserve">Laboratorio 2 — Análisis comparativo de códecs de audio</w:t>
      </w:r>
    </w:p>
    <w:p>
      <w:pPr>
        <w:spacing w:after="60"/>
        <w:jc w:val="center"/>
      </w:pPr>
      <w:r>
        <w:rPr>
          <w:sz w:val="24"/>
          <w:szCs w:val="24"/>
        </w:rPr>
        <w:t xml:space="preserve">Compresión y Codificación · 1.er Semestre 2026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Comparación de AAC-LC y Opus a 24, 64 y 128 kbps sobre música tonal, voz y transitorios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1. Introducción y objetivos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Este laboratorio compara el desempeño de dos códecs perceptuales de audio, AAC-LC y Opus, sobre tres tipos de señal con características muy distintas: música tonal (orquesta, contenido armónico sostenido), voz (narración) y una señal rica en transitorios (percusión de drum &amp; bass). Cada señal se codificó a tres bitrates objetivo (24, 64 y 128 kbps) y se midió la calidad de la reconstrucción contra la referencia original.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El objetivo es vincular los resultados objetivos con la teoría de las Clases 7 y 8: el modelo psicoacústico y la asignación de bits en AAC, la arquitectura híbrida SILK/CELT de Opus, y los mecanismos SBR y PS de los perfiles HE-AAC. La matriz experimental completa es de 3 señales × 2 códecs × 3 bitrates = 18 puntos de medición.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2. Metodología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2.1 Señales de referencia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Las tres señales se obtienen de forma reproducible con el script descargar_senales.py, que usa los ejemplos públicos de librosa: nutcracker (Tchaikovsky interpretado por Kevin MacLeod, CC-BY) como música tonal, libri1 (narración de LibriVox, dominio público) como voz, y choice (Admiral Bob, CC-BY) como transitorios. Cada clip se recorta a 12 segundos, se pasa a mono y se re-muestrea a 48 kHz, guardándose como WAV PCM de 16 bits. Ese WAV es el ground truth de todas las mediciones.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Una limitación importante y conocida (señalada en la propia consigna): los ejemplos de librosa son originalmente de 22 050 Hz, por lo que su contenido espectral real llega como máximo a ≈ 11 kHz aunque el archivo esté re-muestreado a 48 kHz. Medimos el ancho de banda efectivo de cada referencia (umbral de −60 dB respecto al pico): ≈ 8,4 kHz para la música tonal, ≈ 7,6 kHz para la voz y ≈ 10,6 kHz para los transitorios. Esto condiciona el análisis de SBR, como se discute en la sección 4.1.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2.2 Codificación y decodificación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El script codificar.py invoca ffmpeg mediante subprocess. Para AAC-LC se usó el codificador aac nativo de ffmpeg (el build disponible no incluye libfdk_aac, opción prevista por la consigna y que documentamos aquí); para Opus se usó libopus. Cada archivo comprimido (.m4a / .opus) se decodifica de vuelta a WAV para poder medir contra la referencia. Los archivos comprimidos y decodificados quedan en salidas/codificadas y salidas/decodificadas respectivamente.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2.3 Métricas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La consigna propone ViSQOL como métrica perceptual principal. En nuestro entorno de trabajo (Windows 10/11) pip install visqol falla porque no existe rueda pre-compilada, situación prevista explícitamente en la consigna (§2.0 y §2.3). Siguiendo esa indicación, usamos las métricas de respaldo y lo declaramos aquí: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LSD (log-spectral distance): distancia media entre los espectrogramas logarítmicos de referencia y reconstrucción (STFT de 2048 puntos). Se aplica a las tres señales. Menor es mejor; no es una métrica perceptual, pero refleja bien la pérdida estructural (recorte de banda, huecos espectrales).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STOI: inteligibilidad objetiva, solo para voz. Rango 0–1, mayor es mejor.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PESQ (modo wide-band a 16 kHz): calidad perceptual MOS-LQO, solo para voz. Rango ≈ 1–4,64, mayor es mejor. Cumple el rol que ViSQOL habría tenido para la señal de voz.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Además se midió el bitrate efectivo de cada archivo comprimido (tamaño en bits / duración) y se generó el espectrograma diferencial (referencia − reconstruida, en dB) para cada uno de los 18 casos. Antes de medir, medir.py alinea temporalmente referencia y reconstrucción por correlación cruzada, para compensar el retardo que introducen los códecs (≈ 2048 muestras en AAC, 312–960 en Opus). En nuestros archivos el lag detectado fue 0 en todos los casos porque ffmpeg ya compensa el retardo del códec al decodificar, pero la verificación queda incluida en el pipeline.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2.4 Reproducibilidad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Todo el experimento se regenera con un solo comando: ./run.sh en macOS/Linux o .\run.ps1 en Windows. El script crea el entorno, descarga las señales, codifica, mide y grafica, dejando resultados.csv y todas las figuras listas.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3. Resultados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3.1 Tabla de resultados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c>
          <w:tcPr>
            <w:tcW w:type="dxa" w:w="1340"/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Señal</w:t>
            </w:r>
          </w:p>
        </w:tc>
        <w:tc>
          <w:tcPr>
            <w:tcW w:type="dxa" w:w="1340"/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Códec</w:t>
            </w:r>
          </w:p>
        </w:tc>
        <w:tc>
          <w:tcPr>
            <w:tcW w:type="dxa" w:w="1340"/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Bitrate obj. (kbps)</w:t>
            </w:r>
          </w:p>
        </w:tc>
        <w:tc>
          <w:tcPr>
            <w:tcW w:type="dxa" w:w="1340"/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Bitrate real (kbps)</w:t>
            </w:r>
          </w:p>
        </w:tc>
        <w:tc>
          <w:tcPr>
            <w:tcW w:type="dxa" w:w="1340"/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LSD (dB)</w:t>
            </w:r>
          </w:p>
        </w:tc>
        <w:tc>
          <w:tcPr>
            <w:tcW w:type="dxa" w:w="1340"/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STOI</w:t>
            </w:r>
          </w:p>
        </w:tc>
        <w:tc>
          <w:tcPr>
            <w:tcW w:type="dxa" w:w="1340"/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PESQ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music_tonal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AAC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2.82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music_tonal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AAC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music_tonal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AAC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130.1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music_tonal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Opus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2.60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music_tonal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Opus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60.1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1.41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music_tonal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Opus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118.0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transitorios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AAC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4.89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transitorios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AAC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66.6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1.91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transitorios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AAC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126.7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transitorios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Opus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3.13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transitorios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Opus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65.6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1.57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transitorios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Opus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131.5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voz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AAC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3.38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0.955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3.06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voz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AAC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67.6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0.997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4.39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voz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AAC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133.5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4.49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voz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Opus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2.38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4.39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voz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Opus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81.8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4.54</w:t>
            </w:r>
          </w:p>
        </w:tc>
      </w:tr>
      <w:tr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voz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Opus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162.9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</w:t>
            </w:r>
          </w:p>
        </w:tc>
      </w:tr>
    </w:tbl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Tabla 1. Resultados completos (resultados.csv). STOI y PESQ solo aplican a la señal de voz.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3.2 Bitrate real vs. objetivo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1. Bitrate efectivo medido contra el bitrate objetivo.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AAC (codificador nativo de ffmpeg en modo ABR) respeta el objetivo con desviaciones menores al 6 % en casi todos los casos. Opus, que trabaja en VBR restringido, se desvía más y en ambos sentidos: en la música tonal queda por debajo del objetivo (60,1 kbps reales contra 64 objetivo; 118 contra 128), mientras que en la voz lo supera con claridad a tasas altas (81,8 contra 64 y 162,9 contra 128 kbps). Es el comportamiento esperable de un VBR que asigna bits según la complejidad instantánea de la señal: gasta más donde la voz lo demanda y ahorra donde la música es predecible. La desviación máxima observada (+27 % en voz a 128 kbps) entra dentro del ±20–30 % típico de un VBR.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3.3 LSD según señal y bitrate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2. LSD vs. bitrate — música tonal.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3. LSD vs. bitrate — voz.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4. LSD vs. bitrate — transitorios.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Las tres familias de curvas son monótonas decrecientes (menos distorsión a mayor bitrate), como se esperaba. Los patrones por señal, en cambio, son distintos y son el resultado central del laboratorio: en voz y transitorios Opus domina a todos los bitrates, mientras que en música tonal AAC-LC obtiene menor LSD a 64 y 128 kbps y Opus solo gana a 24 kbps. La brecha más grande de todo el experimento es transitorios a 24 kbps: LSD de 4,89 dB para AAC contra 3,13 dB para Opus.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3.4 Métricas perceptuales de voz (STOI y PESQ)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5. PESQ (MOS-LQO) vs. bitrate — voz.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6. STOI vs. bitrate — voz.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A 24 kbps la diferencia es contundente: PESQ de 4,39 para Opus contra 3,07 para AAC, casi un punto y medio de MOS. En términos de la escala MOS, Opus a 24 kbps suena "muy bien, distorsiones apenas audibles" mientras que AAC queda en "aceptable, distorsiones perceptibles". STOI cuenta la misma historia desde la inteligibilidad: 0,994 contra 0,955. A 64 y 128 kbps ambos códecs superan PESQ 4,3 y STOI 0,997: zona prácticamente transparente donde la elección de códec deja de importar para voz.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3.5 Espectrogramas diferenciales</w:t>
      </w:r>
    </w:p>
    <w:p>
      <w:pPr>
        <w:spacing w:after="40" w:before="120"/>
        <w:jc w:val="center"/>
      </w:pPr>
      <w:r>
        <w:drawing>
          <wp:inline distT="0" distB="0" distL="0" distR="0">
            <wp:extent cx="3238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7. Diferencia espectral, transitorios AAC 24 kbps.</w:t>
      </w:r>
    </w:p>
    <w:p>
      <w:pPr>
        <w:spacing w:after="40" w:before="120"/>
        <w:jc w:val="center"/>
      </w:pPr>
      <w:r>
        <w:drawing>
          <wp:inline distT="0" distB="0" distL="0" distR="0">
            <wp:extent cx="3238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8. Diferencia espectral, transitorios Opus 24 kbps.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Los espectrogramas diferenciales explican los números. En transitorios a 24 kbps, AAC muestra una franja roja intensa (energía presente en la referencia y ausente en la reconstrucción) por encima de ≈ 8 kHz: el modelo psicoacústico fuerza un filtro pasabajos y sacrifica toda la banda alta para sostener la banda base. Opus, en cambio, conserva contenido hasta el límite de la fuente (≈ 10,6 kHz) y reparte el error de forma más uniforme en tiempo y frecuencia. Medimos el ancho de banda efectivo de cada reconstrucción: a 24 kbps AAC recorta la música a 7,3 kHz y los transitorios a 8,2 kHz, mientras que Opus mantiene el ancho de banda completo de la fuente en las tres señales y los tres bitrates. A 64 y 128 kbps ambos códecs conservan la banda completa y las diferencias se concentran en errores de bajo nivel distribuidos.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4. Discusión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4.1 ¿Cuándo ayuda SBR (HE-AAC v1)?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SBR (Spectral Band Replication) reconstruye la banda alta (≈ 8–16 kHz) a partir de la banda base transpuesta más una envolvente lateral de pocos kbps. Su territorio natural es exactamente el problema que vimos en la Figura 7: AAC-LC a 24 kbps recortando el espectro en 7–8 kHz. Con HE-AAC v1, esa franja roja del diferencial se "rellenaría" con contenido correlacionado con la banda base, mejorando la sensación de brillo a un costo marginal de bits.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En nuestro experimento no pudimos evaluarlo empíricamente por dos razones que documentamos con honestidad: (1) el codificador aac nativo de ffmpeg no implementa los perfiles HE (requiere libfdk_aac), y (2) nuestras fuentes librosa tienen contenido real solo hasta ≈ 8–11 kHz, de modo que hay poca banda alta genuina que replicar — la nota didáctica de la consigna advierte justamente que para analizar SBR conviene una fuente de 44,1 kHz verdadera. La predicción teórica es clara de todas formas: SBR ayuda a bitrates ≤ 32 kbps en música con banda alta rica (platillos, brillo de cuerdas); no ayuda —e incluso puede introducir un timbre metálico— cuando la banda alta es ruido no correlacionado con la base, y es inútil a 128 kbps, donde AAC-LC ya codifica la banda completa de forma nativa.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4.2 ¿Cuándo introduce artefactos PS (HE-AAC v2)?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PS (Parametric Stereo) transmite un solo canal más parámetros de imagen (diferencias interaurales de nivel, fase y correlación) para reconstruir el estéreo. Al ser una descripción paramétrica y no una codificación de la señal, degrada la imagen estéreo cuando los canales están muy descorrelacionados: reverberaciones amplias, ambientes, grabaciones con micrófonos espaciados. El efecto medible sería una correlación cruzada L/R de la reconstrucción mayor que la del original (el "ancho" se achica). Nuestro experimento usó señales mono, donde PS no aplica: en mono o estéreo muy correlacionado, PS es inocuo por construcción. La verificación empírica requeriría la pista HQ estéreo opcional de la consigna y el perfil aac_he_v2, no disponible en nuestro codificador.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4.3 ¿Cuándo gana Opus y por qué?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Voz a baja tasa: es la victoria más clara (PESQ 4,39 vs. 3,07 a 24 kbps). Opus conmuta a SILK, un códec de predicción lineal diseñado específicamente para voz, que modela el tracto vocal en lugar de repartir bits por bandas de frecuencia. AAC-LC aplica a la voz el mismo esquema MDCT genérico que a la música, y a 24 kbps eso no alcanza.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Transitorios: Opus gana a los tres bitrates (LSD 3,13 vs. 4,89 a 24 kbps; 0,70 vs. 0,90 a 128). Aquí trabaja CELT, cuyo tamaño de bloque corto (120–240 muestras, 2,5–5 ms a 48 kHz) confina el error de cuantización alrededor de cada ataque. AAC-LC usa bloques largos de 2048 muestras (≈ 43 ms) y aunque conmuta a bloques cortos ante transitorios, la densidad de ataques del drum &amp; bass lo obliga a operar casi siempre en el modo menos eficiente, además del pre-echo residual.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Música tonal a tasas medias y altas: es el único terreno donde AAC-LC gana en nuestra tabla (LSD 1,12 vs. 1,41 a 64 kbps; 0,53 vs. 0,69 a 128). Para contenido armónico estacionario, el bloque largo de la MDCT de AAC da mayor resolución frecuencial y su modelo psicoacústico explota mejor el enmascaramiento tonal. Hay que matizar que a 128 kbps ambos están en zona perceptualmente transparente: la diferencia de LSD existe numéricamente pero es dudoso que un oyente la note, que es exactamente lo que la teoría predice ("empate" perceptual).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Bitrate real: Opus además usó menos bits que el objetivo en música (60 y 118 kbps reales), o sea que su leve desventaja de LSD viene acompañada de un ahorro real de tasa; la comparación a igual gasto sería aún más pareja.</w:t>
      </w:r>
    </w:p>
    <w:p>
      <w:pPr>
        <w:pStyle w:val="Heading2"/>
        <w:spacing w:after="100" w:before="200"/>
      </w:pPr>
      <w:r>
        <w:rPr>
          <w:b/>
          <w:bCs/>
          <w:color w:val="2E5496"/>
          <w:sz w:val="24"/>
          <w:szCs w:val="24"/>
        </w:rPr>
        <w:t xml:space="preserve">4.4 Otros ángulos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Latencia: Opus fue diseñado para tiempo real (2,5–20 ms algorítmicos) contra ≈ 60 ms o más de AAC-LC. Para el caso de uso de este laboratorio (codificación offline de archivos) es irrelevante, pero explica por qué Opus domina en WebRTC y telefonía mientras AAC domina en streaming y broadcast, donde la latencia de bloque no molesta y el ecosistema de hardware pesa más. Coste computacional: a las duraciones y tasas de este laboratorio ambos codifican los 12 s en fracciones de segundo; no observamos una diferencia práctica.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5. Conclusiones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La elección de códec depende del contenido: Opus es superior para voz y material transitorio, sobre todo a tasas bajas; AAC-LC mantiene una leve ventaja en música tonal estacionaria a tasas medias.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128 kbps ambos códecs alcanzan la zona transparente en las tres señales: las diferencias numéricas de LSD dejan de tener significado perceptual.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El mecanismo dominante de degradación a 24 kbps en AAC-LC es el recorte de banda (pasabajos a 7–8 kHz), visible directamente en los espectrogramas diferenciales; es exactamente el problema que SBR fue diseñado para resolver.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Los diferentes patrones de desviación del bitrate real (ABR de AAC ajustado al objetivo, VBR de Opus adaptativo al contenido) deben tenerse en cuenta al comparar códecs "a igual bitrate".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Limitaciones declaradas: sin ViSQOL (no hay rueda para nuestro entorno; se usó PESQ+STOI+LSD según el plan de respaldo de la consigna), sin libfdk_aac (SBR y PS discutidos teóricamente), y fuentes con ancho de banda efectivo de 8–11 kHz.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6. Referencias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Clases 7 y 8 del curso — códecs perceptuales; AAC y Opus.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RFC 6716: Definition of the Opus Audio Codec (Valin, Vos, Terriberry, 2012) y RFC 8251 (correcciones).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Meltzer, S. y Moser, G. (2006). MPEG-4 HE-AAC v2 — audio coding for today's digital media world. EBU Technical Review.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Hines, A. et al. (2015). ViSQOL: an objective speech quality model. EURASIP Journal on Audio, Speech, and Music Processing. github.com/google/visqol.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Rix, A. et al. (2001). PESQ — Perceptual Evaluation of Speech Quality. ITU-T P.862.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Taal, C. et al. (2011). An algorithm for intelligibility prediction (STOI). IEEE TASLP.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Documentación de ffmpeg: codificadores aac y libopus.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Señales: "Dance of the Sugar Plum Fairy" — Kevin MacLeod (CC-BY); "Choice" — Admiral Bob (CC-BY); narración LibriVox "The Ashiel Mystery" (dominio público).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062e66f651c8ffedada64b760714a2a29e34e1.png"/><Relationship Id="rId8" Type="http://schemas.openxmlformats.org/officeDocument/2006/relationships/image" Target="media/4fd3714d8a798985e5482a51a866197aedb922aa.png"/><Relationship Id="rId9" Type="http://schemas.openxmlformats.org/officeDocument/2006/relationships/image" Target="media/e0cdc7c09c5dc4dd11d4c1732310ca4b9f0d2fca.png"/><Relationship Id="rId10" Type="http://schemas.openxmlformats.org/officeDocument/2006/relationships/image" Target="media/26c475ece771a3f1875e003869d59347e420469d.png"/><Relationship Id="rId11" Type="http://schemas.openxmlformats.org/officeDocument/2006/relationships/image" Target="media/9fe6db8d47ac83400bcf242bb1342138f09610cb.png"/><Relationship Id="rId12" Type="http://schemas.openxmlformats.org/officeDocument/2006/relationships/image" Target="media/8827a9a094a6a91b565f2bfdf3599a05013077a0.png"/><Relationship Id="rId13" Type="http://schemas.openxmlformats.org/officeDocument/2006/relationships/image" Target="media/853957cbe94712e538fb54a1ab0dd448257b5385.png"/><Relationship Id="rId14" Type="http://schemas.openxmlformats.org/officeDocument/2006/relationships/image" Target="media/a96afa40129363c995ec58ba243fd972d5c386a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2026-07-02T06:00:39.501Z</dcterms:created>
  <dcterms:modified xsi:type="dcterms:W3CDTF">2026-07-02T06:00:39.501Z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