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>
      <w:r>
        <w:rPr>
          <w:b/>
          <w:color w:val="1B4965"/>
          <w:sz w:val="32"/>
        </w:rPr>
        <w:t>Gabriel Jew, P.E.</w:t>
      </w:r>
    </w:p>
    <w:p>
      <w:pPr>
        <w:spacing w:after="40"/>
      </w:pPr>
      <w:r>
        <w:rPr>
          <w:color w:val="5B6470"/>
          <w:sz w:val="19"/>
        </w:rPr>
        <w:t>San Diego, CA | (510) 388-0629 | gabjew90@gmail.com | linkedin.com/in/gabjew90 | github.com/gabjew90</w:t>
      </w:r>
    </w:p>
    <w:p>
      <w:pPr>
        <w:spacing w:before="120" w:after="40"/>
        <w:pBdr>
          <w:bottom w:val="single" w:sz="8" w:space="1" w:color="1B4965"/>
        </w:pBdr>
      </w:pPr>
      <w:r>
        <w:rPr>
          <w:b/>
          <w:color w:val="1B4965"/>
          <w:sz w:val="18"/>
          <w:spacing w:val="20"/>
        </w:rPr>
        <w:t>SUMMARY</w:t>
      </w:r>
    </w:p>
    <w:p>
      <w:r>
        <w:t>Product manager who took LG Energy Solution from battery racks to a prefabricated containerized ESS, partnering with Jabil on the first product. Senior product manager for grid-scale BESS with 8 years in lithium-ion storage, from deal engineering to product line ownership. Licensed Professional Engineer with an MBA in product strategy.</w:t>
      </w:r>
    </w:p>
    <w:p>
      <w:pPr>
        <w:spacing w:before="120" w:after="40"/>
        <w:pBdr>
          <w:bottom w:val="single" w:sz="8" w:space="1" w:color="1B4965"/>
        </w:pBdr>
      </w:pPr>
      <w:r>
        <w:rPr>
          <w:b/>
          <w:color w:val="1B4965"/>
          <w:sz w:val="18"/>
          <w:spacing w:val="20"/>
        </w:rPr>
        <w:t>EXPERIENCE</w:t>
      </w:r>
    </w:p>
    <w:p>
      <w:pPr>
        <w:tabs>
          <w:tab w:pos="10512" w:val="right"/>
        </w:tabs>
        <w:spacing w:before="80"/>
      </w:pPr>
      <w:r>
        <w:rPr>
          <w:b/>
        </w:rPr>
        <w:t>LG Energy Solution</w:t>
      </w:r>
      <w:r>
        <w:rPr>
          <w:color w:val="5B6470"/>
        </w:rPr>
        <w:t xml:space="preserve">  |  Senior Product Manager, Grid-Scale BESS</w:t>
      </w:r>
      <w:r>
        <w:rPr>
          <w:i/>
          <w:color w:val="5B6470"/>
        </w:rPr>
        <w:tab/>
        <w:t>Feb 2018 – present</w:t>
      </w:r>
    </w:p>
    <w:p>
      <w:pPr>
        <w:pStyle w:val="ListBullet"/>
      </w:pPr>
      <w:r>
        <w:t>Partnered with Jabil to standardize and prefabricate LG's first modular containerized ESS, replacing bespoke on-site integration by system integrators.</w:t>
      </w:r>
    </w:p>
    <w:p>
      <w:pPr>
        <w:pStyle w:val="ListBullet"/>
      </w:pPr>
      <w:r>
        <w:t>Designed LG's first pre-integrated 2.86 MWh battery container with Jabil.</w:t>
      </w:r>
    </w:p>
    <w:p>
      <w:pPr>
        <w:pStyle w:val="ListBullet"/>
      </w:pPr>
      <w:r>
        <w:t>Deployed the standardized container at 584 MWh on Fifth Standard in California and 361 MWh on Bright Arrow in Texas.</w:t>
      </w:r>
    </w:p>
    <w:p>
      <w:pPr>
        <w:pStyle w:val="ListBullet"/>
      </w:pPr>
      <w:r>
        <w:t>Made the case for a 2-hour AC-integrated BESS when LG planned to stay at 4-hour duration.</w:t>
      </w:r>
    </w:p>
    <w:p>
      <w:pPr>
        <w:pStyle w:val="ListBullet"/>
      </w:pPr>
      <w:r>
        <w:t>Led product development (NPI) of the 2-hour container, now LG's flagship for AI data centers, with about 3 GWh booked for 2027.</w:t>
      </w:r>
    </w:p>
    <w:p>
      <w:pPr>
        <w:pStyle w:val="ListBullet"/>
      </w:pPr>
      <w:r>
        <w:t>Lead product strategy for grid-scale battery storage sold to hyperscale AI data center customers, including Meta, Google, NVIDIA and Microsoft.</w:t>
      </w:r>
    </w:p>
    <w:p>
      <w:pPr>
        <w:pStyle w:val="ListBullet"/>
      </w:pPr>
      <w:r>
        <w:t>Set the fire safety requirements for the container while the industry was still defining how to prove them.</w:t>
      </w:r>
    </w:p>
    <w:p>
      <w:pPr>
        <w:pStyle w:val="ListBullet"/>
      </w:pPr>
      <w:r>
        <w:t>Modeled product cost from cell cost through system selling price, plus customers' EPC and installation cost.</w:t>
      </w:r>
    </w:p>
    <w:p>
      <w:pPr>
        <w:tabs>
          <w:tab w:pos="10512" w:val="right"/>
        </w:tabs>
        <w:spacing w:before="80"/>
      </w:pPr>
      <w:r>
        <w:rPr>
          <w:b/>
        </w:rPr>
        <w:t>Comfort Energy</w:t>
      </w:r>
      <w:r>
        <w:rPr>
          <w:color w:val="5B6470"/>
        </w:rPr>
        <w:t xml:space="preserve">  |  Design-Build Engineering Manager, HVAC</w:t>
      </w:r>
      <w:r>
        <w:rPr>
          <w:i/>
          <w:color w:val="5B6470"/>
        </w:rPr>
        <w:tab/>
        <w:t>July 2016 – Oct 2017</w:t>
      </w:r>
    </w:p>
    <w:p>
      <w:pPr>
        <w:pStyle w:val="ListBullet"/>
      </w:pPr>
      <w:r>
        <w:t>Managed sales, design and project management of commercial and luxury residential HVAC projects from proposal through engineering, construction and startup.</w:t>
      </w:r>
    </w:p>
    <w:p>
      <w:pPr>
        <w:pStyle w:val="ListBullet"/>
      </w:pPr>
      <w:r>
        <w:t>Exceeded the department's annual project sales goal of $2M.</w:t>
      </w:r>
    </w:p>
    <w:p>
      <w:pPr>
        <w:pStyle w:val="ListBullet"/>
      </w:pPr>
      <w:r>
        <w:t>Designed HVAC and hydronic systems using building energy modeling, equipment sizing and duct and piping layouts to code.</w:t>
      </w:r>
    </w:p>
    <w:p>
      <w:pPr>
        <w:tabs>
          <w:tab w:pos="10512" w:val="right"/>
        </w:tabs>
        <w:spacing w:before="80"/>
      </w:pPr>
      <w:r>
        <w:rPr>
          <w:b/>
        </w:rPr>
        <w:t>Pacific Gas and Electric</w:t>
      </w:r>
      <w:r>
        <w:rPr>
          <w:color w:val="5B6470"/>
        </w:rPr>
        <w:t xml:space="preserve">  |  Energy Solutions Engineer</w:t>
      </w:r>
      <w:r>
        <w:rPr>
          <w:i/>
          <w:color w:val="5B6470"/>
        </w:rPr>
        <w:tab/>
        <w:t>Dec 2013 – July 2016</w:t>
      </w:r>
    </w:p>
    <w:p>
      <w:pPr>
        <w:pStyle w:val="ListBullet"/>
      </w:pPr>
      <w:r>
        <w:t>Developed energy-efficiency and demand-response projects for commercial and industrial customers under statewide incentives, including cogeneration, thermal energy storage and battery peak-shifting.</w:t>
      </w:r>
    </w:p>
    <w:p>
      <w:pPr>
        <w:pStyle w:val="ListBullet"/>
      </w:pPr>
      <w:r>
        <w:t>Generated cumulative savings of 2,500 kW and 7 million kWh, helping the company exceed its energy-savings goal through field audits.</w:t>
      </w:r>
    </w:p>
    <w:p>
      <w:pPr>
        <w:spacing w:before="120" w:after="40"/>
        <w:pBdr>
          <w:bottom w:val="single" w:sz="8" w:space="1" w:color="1B4965"/>
        </w:pBdr>
      </w:pPr>
      <w:r>
        <w:rPr>
          <w:b/>
          <w:color w:val="1B4965"/>
          <w:sz w:val="18"/>
          <w:spacing w:val="20"/>
        </w:rPr>
        <w:t>SELECTED PROJECTS</w:t>
      </w:r>
    </w:p>
    <w:p>
      <w:pPr>
        <w:pStyle w:val="ListBullet"/>
      </w:pPr>
      <w:r>
        <w:rPr>
          <w:b/>
        </w:rPr>
        <w:t>MBA Honda IMPACT Project</w:t>
      </w:r>
      <w:r>
        <w:t>: Built a five-year go-to-market plan for Honda to launch hydrogen fuel cells, electrolyzers and second-life EV batteries into the US C&amp;I market.</w:t>
      </w:r>
    </w:p>
    <w:p>
      <w:pPr>
        <w:pStyle w:val="ListBullet"/>
      </w:pPr>
      <w:r>
        <w:rPr>
          <w:b/>
        </w:rPr>
        <w:t>Institutional Research Pulse Bot</w:t>
      </w:r>
      <w:r>
        <w:t>: Shipped a multi-agent system that ingests 100-200 analyst reports daily and delivers a daily Market Pulse research brief to a paying customer.</w:t>
      </w:r>
    </w:p>
    <w:p>
      <w:pPr>
        <w:spacing w:before="120" w:after="40"/>
        <w:pBdr>
          <w:bottom w:val="single" w:sz="8" w:space="1" w:color="1B4965"/>
        </w:pBdr>
      </w:pPr>
      <w:r>
        <w:rPr>
          <w:b/>
          <w:color w:val="1B4965"/>
          <w:sz w:val="18"/>
          <w:spacing w:val="20"/>
        </w:rPr>
        <w:t>EDUCATION</w:t>
      </w:r>
    </w:p>
    <w:p>
      <w:r>
        <w:t>MBA (STEM-designated), Product Management/Strategy, UC Davis Graduate School of Management, 2022</w:t>
      </w:r>
    </w:p>
    <w:p>
      <w:r>
        <w:t>BS Mechanical Engineering, UC Davis, 2013, Dean's Honor List</w:t>
      </w:r>
    </w:p>
    <w:p>
      <w:pPr>
        <w:spacing w:before="120" w:after="40"/>
        <w:pBdr>
          <w:bottom w:val="single" w:sz="8" w:space="1" w:color="1B4965"/>
        </w:pBdr>
      </w:pPr>
      <w:r>
        <w:rPr>
          <w:b/>
          <w:color w:val="1B4965"/>
          <w:sz w:val="18"/>
          <w:spacing w:val="20"/>
        </w:rPr>
        <w:t>CERTIFICATIONS</w:t>
      </w:r>
    </w:p>
    <w:p>
      <w:r>
        <w:t>California Licensed Professional Engineer #M38303, Thermal and Fluid Systems (NCEES, 2016)</w:t>
      </w:r>
    </w:p>
    <w:p>
      <w:pPr>
        <w:spacing w:before="120" w:after="40"/>
        <w:pBdr>
          <w:bottom w:val="single" w:sz="8" w:space="1" w:color="1B4965"/>
        </w:pBdr>
      </w:pPr>
      <w:r>
        <w:rPr>
          <w:b/>
          <w:color w:val="1B4965"/>
          <w:sz w:val="18"/>
          <w:spacing w:val="20"/>
        </w:rPr>
        <w:t>SKILLS</w:t>
      </w:r>
    </w:p>
    <w:p>
      <w:r>
        <w:rPr>
          <w:b/>
          <w:color w:val="1B4965"/>
        </w:rPr>
        <w:t xml:space="preserve">BESS: </w:t>
      </w:r>
      <w:r>
        <w:t>power conversion systems (PCS), thermal systems, codes &amp; standards (UL, NFPA), fire safety, testing &amp; certification, lithium-ion system design, BMS</w:t>
      </w:r>
    </w:p>
    <w:p>
      <w:r>
        <w:rPr>
          <w:b/>
          <w:color w:val="1B4965"/>
        </w:rPr>
        <w:t xml:space="preserve">Grid &amp; Utility: </w:t>
      </w:r>
      <w:r>
        <w:t>interconnection, demand response, energy efficiency, US energy markets (ERCOT), electricity financial contracts (forwards, tolling, swaps)</w:t>
      </w:r>
    </w:p>
    <w:p>
      <w:r>
        <w:rPr>
          <w:b/>
          <w:color w:val="1B4965"/>
        </w:rPr>
        <w:t xml:space="preserve">Product &amp; Commercial: </w:t>
      </w:r>
      <w:r>
        <w:t>NPI, product strategy, market requirements, competitive analysis, contract negotiation, financial modeling, proposal tendering, VOC, US GAAP</w:t>
      </w:r>
    </w:p>
    <w:p>
      <w:r>
        <w:rPr>
          <w:b/>
          <w:color w:val="1B4965"/>
        </w:rPr>
        <w:t xml:space="preserve">Software &amp; Analytics: </w:t>
      </w:r>
      <w:r>
        <w:t>Python, SQL, Tableau, MATLAB, FastAPI, GitHub Actions, Docker, Anthropic API, MCP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 w:eastAsia="Calibri" w:cs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0"/>
      <w:ind w:left="317" w:hanging="230"/>
      <w:contextualSpacing/>
    </w:pPr>
    <w:rPr>
      <w:rFonts w:ascii="Calibri" w:hAnsi="Calibri" w:eastAsia="Calibri" w:cs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Gabriel Jew, P.E. resume for Product Line Director, DC Power and BESS at Flex</dc:title>
  <dc:subject/>
  <dc:creator>Gabriel Jew, P.E.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