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Product manager for grid-scale BESS with a utility and construction background, eight years at LG Energy Solution moving from systems engineering to product ownership. Originated the 2-hour containerized product that became LG's flagship for AI data center power, with multi-GWh bookings. Works across power systems engineering, techno-economic modeling, and Python tooling to turn site-level constraints into deployable hardware and pricing.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CORE COMPETENCIES</w:t>
      </w:r>
    </w:p>
    <w:p>
      <w:r>
        <w:rPr>
          <w:b/>
          <w:color w:val="1B4965"/>
        </w:rPr>
        <w:t xml:space="preserve">Power Systems &amp; Hardware: </w:t>
      </w:r>
      <w:r>
        <w:t>Grid-scale and containerized BESS, PCS selection and configuration, UL 9540, black start and islanding, voltage fault ride-through, non-firm interconnection and curtailment, demand response, central plant and data center cooling systems</w:t>
      </w:r>
    </w:p>
    <w:p>
      <w:r>
        <w:rPr>
          <w:b/>
          <w:color w:val="1B4965"/>
        </w:rPr>
        <w:t xml:space="preserve">Modeling &amp; Analysis: </w:t>
      </w:r>
      <w:r>
        <w:t>Cell-to-system cost modeling, EPC and logistics cost modeling, battery degradation modeling (calendar and cycle aging), system sizing and augmentation planning, Python, Excel</w:t>
      </w:r>
    </w:p>
    <w:p>
      <w:r>
        <w:rPr>
          <w:b/>
          <w:color w:val="1B4965"/>
        </w:rPr>
        <w:t xml:space="preserve">Commercial &amp; Delivery: </w:t>
      </w:r>
      <w:r>
        <w:t>Product roadmap and business case, pricing strategy, RFP/RFI technical response, vendor and contract manufacturer selection, change order negotiation, utility incentive structuring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tabs>
          <w:tab w:pos="10512" w:val="right"/>
        </w:tabs>
        <w:spacing w:before="40"/>
        <w:ind w:left="202"/>
      </w:pPr>
      <w:r>
        <w:rPr>
          <w:b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  <w:ind w:left="518"/>
      </w:pPr>
      <w:r>
        <w:rPr>
          <w:b/>
          <w:color w:val="1B4965"/>
        </w:rPr>
        <w:t xml:space="preserve">Roadmap Ownership &amp; Commercial Impact: </w:t>
      </w:r>
      <w:r>
        <w:t>Expanded the product portfolio from 4-hour to 2-hour duration with an AC-integrated containerized BESS to capture emerging AI data center demand; secured executive and commercial buy-in to establish the platform as LG's flagship offering for the segment, driving multi-GWh forward bookings for 2027 delivery.</w:t>
      </w:r>
    </w:p>
    <w:p>
      <w:pPr>
        <w:pStyle w:val="ListBullet"/>
        <w:ind w:left="518"/>
      </w:pPr>
      <w:r>
        <w:rPr>
          <w:b/>
          <w:color w:val="1B4965"/>
        </w:rPr>
        <w:t xml:space="preserve">Techno-Economics &amp; Pricing Strategy: </w:t>
      </w:r>
      <w:r>
        <w:t>Built bottom-up cell-to-system cost, EPC installation, and logistics models to set competitive system pricing, evaluate PCS configurations, and quantify the margin, energy density, and transport advantages of the 2-hour architecture.</w:t>
      </w:r>
    </w:p>
    <w:p>
      <w:pPr>
        <w:pStyle w:val="ListBullet"/>
        <w:ind w:left="518"/>
      </w:pPr>
      <w:r>
        <w:rPr>
          <w:b/>
          <w:color w:val="1B4965"/>
        </w:rPr>
        <w:t xml:space="preserve">Technical Translation &amp; System Requirements: </w:t>
      </w:r>
      <w:r>
        <w:t>Translated hyperscale and AI data center power constraints into core BESS requirements: authored specifications for compute step-load transient smoothing, voltage fault ride-through with active recovery, gas turbine pairing, black start and islanding, and capacity management for non-firm interconnection with curtailment.</w:t>
      </w:r>
    </w:p>
    <w:p>
      <w:pPr>
        <w:pStyle w:val="ListBullet"/>
        <w:ind w:left="518"/>
      </w:pPr>
      <w:r>
        <w:rPr>
          <w:b/>
          <w:color w:val="1B4965"/>
        </w:rPr>
        <w:t xml:space="preserve">Cross-Functional Delivery: </w:t>
      </w:r>
      <w:r>
        <w:t>Led PCS vendor selection and owned the UL 9540 listing path; served as the product interface between engineering, sales, and project execution, aligning volume commitments, cost-down trajectory, development and certification schedules, technical documentation, and commissioning and service procedures.</w:t>
      </w:r>
    </w:p>
    <w:p>
      <w:pPr>
        <w:tabs>
          <w:tab w:pos="10512" w:val="right"/>
        </w:tabs>
        <w:spacing w:before="40"/>
        <w:ind w:left="202"/>
      </w:pPr>
      <w:r>
        <w:rPr>
          <w:b/>
        </w:rPr>
        <w:t>Senior Systems Engineer, Grid-Scale BESS (LG Chem)</w:t>
      </w:r>
      <w:r>
        <w:rPr>
          <w:i/>
          <w:color w:val="5B6470"/>
        </w:rPr>
        <w:tab/>
        <w:t>Feb 2018 – Feb 2021</w:t>
      </w:r>
    </w:p>
    <w:p>
      <w:pPr>
        <w:pStyle w:val="ListBullet"/>
        <w:ind w:left="518"/>
      </w:pPr>
      <w:r>
        <w:t>Led product engineering for LG's first prefabricated containerized BESS (2.86 MWh/unit); partnered with contract manufacturer Jabil from architecture through functional prototype, managing cost, safety, and size/weight tradeoffs to replace bespoke field assembly and deliver nearly 1 GWh across CAISO and ERCOT.</w:t>
      </w:r>
    </w:p>
    <w:p>
      <w:pPr>
        <w:pStyle w:val="ListBullet"/>
        <w:ind w:left="518"/>
      </w:pPr>
      <w:r>
        <w:t>Developed Python and spreadsheet degradation models simulating calendar and cycle aging, C-rate, temperature, and depth of discharge; optimized battery-to-inverter ratios and augmentation schedules to minimize lifetime cost while satisfying developer warranty terms.</w:t>
      </w:r>
    </w:p>
    <w:p>
      <w:pPr>
        <w:pStyle w:val="ListBullet"/>
        <w:ind w:left="518"/>
      </w:pPr>
      <w:r>
        <w:t>Directed technical sales engineering for integrators, EPCs, and IPP/developers; led requirements capture, system sizing, and RFP/RFI technical defense, translating site duty-cycle constraints into pre-construction proposals.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Comfort Energy</w:t>
      </w:r>
      <w:r>
        <w:rPr>
          <w:i/>
          <w:color w:val="5B6470"/>
        </w:rPr>
        <w:tab/>
        <w:t>Jul 2016 – Oct 2017</w:t>
      </w:r>
    </w:p>
    <w:p>
      <w:pPr>
        <w:tabs>
          <w:tab w:pos="10512" w:val="right"/>
        </w:tabs>
        <w:spacing w:before="0"/>
        <w:ind w:left="202"/>
      </w:pPr>
      <w:r>
        <w:rPr>
          <w:b/>
        </w:rPr>
        <w:t>Design-Build Engineering Manager, HVAC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t>Managed end-to-end commercial HVAC delivery on active construction sites: scope definition, equipment selection, and mechanical and electrical commissioning and startup, coordinating with general contractors, architects, and developers.</w:t>
      </w:r>
    </w:p>
    <w:p>
      <w:pPr>
        <w:pStyle w:val="ListBullet"/>
        <w:ind w:left="518"/>
      </w:pPr>
      <w:r>
        <w:t>Owned estimating, procurement, and field operations; produced mechanical bids, directed trade installer crews, and negotiated in-flight change orders to protect margin and schedule.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Pacific Gas and Electric Company (PG&amp;E)</w:t>
      </w:r>
      <w:r>
        <w:rPr>
          <w:i/>
          <w:color w:val="5B6470"/>
        </w:rPr>
        <w:tab/>
        <w:t>Dec 2013 – Jul 2016</w:t>
      </w:r>
    </w:p>
    <w:p>
      <w:pPr>
        <w:tabs>
          <w:tab w:pos="10512" w:val="right"/>
        </w:tabs>
        <w:spacing w:before="0"/>
        <w:ind w:left="202"/>
      </w:pPr>
      <w:r>
        <w:rPr>
          <w:b/>
        </w:rPr>
        <w:t>Energy Solutions Engineer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t>Delivered 2.5 MW of peak demand reduction and 7 GWh of cumulative energy savings across commercial and industrial portfolios through customer-facing technical audits, incentive structuring, and capital project evaluation.</w:t>
      </w:r>
    </w:p>
    <w:p>
      <w:pPr>
        <w:pStyle w:val="ListBullet"/>
        <w:ind w:left="518"/>
      </w:pPr>
      <w:r>
        <w:t>Engineered efficiency and demand-response projects for data centers and critical facilities: developed technical scopes and savings models for data center cooling retrofits (hot/cold aisle containment, economizers, VFDs), central plant systems (chillers, boilers, AHUs), and behind-the-meter thermal and battery peak-shifting assets.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TECHNICAL PROJECT</w:t>
      </w:r>
    </w:p>
    <w:p>
      <w:pPr>
        <w:tabs>
          <w:tab w:pos="10512" w:val="right"/>
        </w:tabs>
        <w:spacing w:before="80"/>
        <w:ind w:left="0"/>
      </w:pPr>
      <w:r>
        <w:rPr>
          <w:b/>
          <w:color w:val="1B4965"/>
        </w:rPr>
        <w:t>Institutional Equity &amp; Macroeconomic Research Engine</w:t>
      </w:r>
      <w:r>
        <w:rPr>
          <w:i w:val="0"/>
          <w:color w:val="5B6470"/>
        </w:rPr>
        <w:tab/>
        <w:t>Python, Gemini API, PyMuPDF, SQLite, Discord API, Railway</w:t>
      </w:r>
    </w:p>
    <w:p>
      <w:pPr>
        <w:tabs>
          <w:tab w:pos="10512" w:val="right"/>
        </w:tabs>
        <w:spacing w:before="0"/>
        <w:ind w:left="202"/>
      </w:pPr>
      <w:r>
        <w:rPr>
          <w:b/>
        </w:rPr>
        <w:t>Automated synthesis and cited RAG bot converting institutional research into a daily brief and Q&amp;A for 100+ paid subscribers.</w:t>
      </w:r>
      <w:r>
        <w:rPr>
          <w:i/>
          <w:color w:val="5B6470"/>
        </w:rPr>
        <w:tab/>
      </w:r>
    </w:p>
    <w:p>
      <w:pPr>
        <w:pStyle w:val="ListBullet"/>
        <w:ind w:left="518"/>
      </w:pPr>
      <w:r>
        <w:rPr>
          <w:b/>
          <w:color w:val="1B4965"/>
        </w:rPr>
        <w:t xml:space="preserve">Multi-Source Ingestion &amp; Schema Extraction: </w:t>
      </w:r>
      <w:r>
        <w:t>Engineered an automated pipeline ingesting 100+ equity and macroeconomic research PDFs daily (16,000+ total); parsed unstructured multi-asset commentary into structured JSON schemas with verbatim anchor quotes, programmatically verifying every extracted metric against source text before database commit.</w:t>
      </w:r>
    </w:p>
    <w:p>
      <w:pPr>
        <w:pStyle w:val="ListBullet"/>
        <w:ind w:left="518"/>
      </w:pPr>
      <w:r>
        <w:rPr>
          <w:b/>
          <w:color w:val="1B4965"/>
        </w:rPr>
        <w:t xml:space="preserve">Morning Pulse Synthesis: </w:t>
      </w:r>
      <w:r>
        <w:t>Built the automated "Morning Pulse" briefing, published every trading day (110+ issues) with a lead theme, desk-call trade board, and economic and earnings calendar drawn from live options chains and agency APIs; a redesigned synthesis pipeline in shadow pilot raised extraction fidelity against source PDFs from 33–60% to 87–100% and cut grouping fragmentation from 30–60% to 9–16%.</w:t>
      </w:r>
    </w:p>
    <w:p>
      <w:pPr>
        <w:pStyle w:val="ListBullet"/>
        <w:ind w:left="518"/>
      </w:pPr>
      <w:r>
        <w:rPr>
          <w:b/>
          <w:color w:val="1B4965"/>
        </w:rPr>
        <w:t xml:space="preserve">Cited RAG Agent: </w:t>
      </w:r>
      <w:r>
        <w:t>Built an interactive Q&amp;A agent executing cited answers over the research corpus (1,470+ production queries); regex-based tool router restricts model actions per query, and a payload provenance guard blocks any figure absent from tool output.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 &amp; CREDENTIALS</w:t>
      </w:r>
    </w:p>
    <w:p>
      <w:pPr>
        <w:tabs>
          <w:tab w:pos="10512" w:val="right"/>
        </w:tabs>
        <w:spacing w:before="60"/>
        <w:ind w:left="0"/>
      </w:pPr>
      <w:r>
        <w:rPr>
          <w:b/>
          <w:color w:val="1B4965"/>
        </w:rPr>
        <w:t>UC Davis Graduate School of Management</w:t>
      </w:r>
      <w:r>
        <w:rPr>
          <w:i/>
          <w:color w:val="5B6470"/>
        </w:rPr>
        <w:tab/>
        <w:t>2022</w:t>
      </w:r>
    </w:p>
    <w:p>
      <w:pPr>
        <w:ind w:left="202"/>
      </w:pPr>
      <w:r>
        <w:t>MBA (STEM-designated), Product Management &amp; Strategy</w:t>
      </w:r>
    </w:p>
    <w:p>
      <w:pPr>
        <w:tabs>
          <w:tab w:pos="10512" w:val="right"/>
        </w:tabs>
        <w:spacing w:before="60"/>
        <w:ind w:left="0"/>
      </w:pPr>
      <w:r>
        <w:rPr>
          <w:b/>
          <w:color w:val="1B4965"/>
        </w:rPr>
        <w:t>UC Davis</w:t>
      </w:r>
      <w:r>
        <w:rPr>
          <w:i/>
          <w:color w:val="5B6470"/>
        </w:rPr>
        <w:tab/>
        <w:t>2013</w:t>
      </w:r>
    </w:p>
    <w:p>
      <w:pPr>
        <w:ind w:left="202"/>
      </w:pPr>
      <w:r>
        <w:t>BS Mechanical Engineering, Dean's Honor List</w:t>
      </w:r>
    </w:p>
    <w:p>
      <w:pPr>
        <w:tabs>
          <w:tab w:pos="10512" w:val="right"/>
        </w:tabs>
        <w:spacing w:before="60"/>
        <w:ind w:left="0"/>
      </w:pPr>
      <w:r>
        <w:rPr>
          <w:b/>
          <w:color w:val="1B4965"/>
        </w:rPr>
        <w:t>Professional Engineer, California</w:t>
      </w:r>
      <w:r>
        <w:rPr>
          <w:i/>
          <w:color w:val="5B6470"/>
        </w:rPr>
        <w:tab/>
        <w:t>2016</w:t>
      </w:r>
    </w:p>
    <w:p>
      <w:pPr>
        <w:ind w:left="202"/>
      </w:pPr>
      <w:r>
        <w:t>License #M38303, Thermal and Fluid Systems (NCEES)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