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240" w:lineRule="auto"/>
        <w:ind w:left="0" w:firstLine="0"/>
        <w:rPr>
          <w:sz w:val="90"/>
          <w:szCs w:val="90"/>
        </w:rPr>
      </w:pPr>
      <w:r w:rsidDel="00000000" w:rsidR="00000000" w:rsidRPr="00000000">
        <w:rPr>
          <w:b w:val="1"/>
          <w:bCs w:val="1"/>
          <w:color w:val="1b4965"/>
          <w:sz w:val="100"/>
          <w:szCs w:val="100"/>
          <w:rtl w:val="0"/>
        </w:rPr>
        <w:t xml:space="preserve">Gabriel Jew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="480" w:lineRule="auto"/>
        <w:ind w:left="0" w:firstLine="0"/>
        <w:rPr>
          <w:sz w:val="26"/>
          <w:szCs w:val="26"/>
        </w:rPr>
      </w:pPr>
      <w:r w:rsidDel="00000000" w:rsidR="00000000" w:rsidRPr="00000000">
        <w:rPr>
          <w:color w:val="5b6470"/>
          <w:sz w:val="23"/>
          <w:szCs w:val="23"/>
          <w:rtl w:val="0"/>
        </w:rPr>
        <w:t xml:space="preserve">San Diego, CA | (510) 388-0629 | gabjew90@gmail.com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1b4965" w:space="1" w:sz="8" w:val="single"/>
        </w:pBdr>
        <w:spacing w:after="60" w:before="100" w:lineRule="auto"/>
        <w:ind w:left="0" w:firstLine="0"/>
        <w:outlineLvl w:val="0"/>
        <w:rPr/>
      </w:pPr>
      <w:r w:rsidDel="00000000" w:rsidR="00000000" w:rsidRPr="00000000">
        <w:rPr>
          <w:b w:val="1"/>
          <w:bCs w:val="1"/>
          <w:color w:val="1b4965"/>
          <w:sz w:val="26"/>
          <w:szCs w:val="26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lineRule="auto"/>
        <w:ind w:left="0" w:firstLine="0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Technical Product Leader </w:t>
      </w:r>
      <w:r w:rsidDel="00000000" w:rsidR="00000000" w:rsidRPr="00000000">
        <w:rPr>
          <w:sz w:val="24"/>
          <w:szCs w:val="24"/>
          <w:rtl w:val="0"/>
        </w:rPr>
        <w:t xml:space="preserve">specializing in battery energy storage systems (BESS) to accelerate the energization of gigawatt-scale AI data centers. Leverages deep expertise in grid-scale power generation systems and energy project commercialization to translate the physical and economic constraints of grid interconnection, co-located generation, and dynamic compute load behavior into bankable firm power solutions.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1b4965" w:space="1" w:sz="8" w:val="single"/>
        </w:pBdr>
        <w:spacing w:after="60" w:before="200" w:lineRule="auto"/>
        <w:ind w:left="0" w:firstLine="0"/>
        <w:outlineLvl w:val="0"/>
        <w:rPr/>
      </w:pPr>
      <w:r w:rsidDel="00000000" w:rsidR="00000000" w:rsidRPr="00000000">
        <w:rPr>
          <w:b w:val="1"/>
          <w:bCs w:val="1"/>
          <w:color w:val="1b4965"/>
          <w:sz w:val="26"/>
          <w:szCs w:val="26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60" w:lineRule="auto"/>
        <w:ind w:left="0" w:firstLine="0"/>
        <w:rPr/>
      </w:pPr>
      <w:r w:rsidDel="00000000" w:rsidR="00000000" w:rsidRPr="00000000">
        <w:rPr>
          <w:b w:val="1"/>
          <w:bCs w:val="1"/>
          <w:color w:val="1b4965"/>
          <w:sz w:val="24"/>
          <w:szCs w:val="24"/>
          <w:rtl w:val="0"/>
        </w:rPr>
        <w:t xml:space="preserve">Product Management &amp; Strategy: </w:t>
      </w:r>
      <w:r w:rsidDel="00000000" w:rsidR="00000000" w:rsidRPr="00000000">
        <w:rPr>
          <w:sz w:val="24"/>
          <w:szCs w:val="24"/>
          <w:rtl w:val="0"/>
        </w:rPr>
        <w:t xml:space="preserve">Hardware product roadmapping, component-to-system unit economics, bottom-up pricing, vendor &amp; CM qualification, Stage-Gate delivery, technical RFP defense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60" w:lineRule="auto"/>
        <w:ind w:left="0" w:firstLine="0"/>
        <w:rPr/>
      </w:pPr>
      <w:r w:rsidDel="00000000" w:rsidR="00000000" w:rsidRPr="00000000">
        <w:rPr>
          <w:b w:val="1"/>
          <w:bCs w:val="1"/>
          <w:color w:val="1b4965"/>
          <w:sz w:val="24"/>
          <w:szCs w:val="24"/>
          <w:rtl w:val="0"/>
        </w:rPr>
        <w:t xml:space="preserve">Power Systems &amp; Hardware: </w:t>
      </w:r>
      <w:r w:rsidDel="00000000" w:rsidR="00000000" w:rsidRPr="00000000">
        <w:rPr>
          <w:sz w:val="24"/>
          <w:szCs w:val="24"/>
          <w:rtl w:val="0"/>
        </w:rPr>
        <w:t xml:space="preserve">Grid-scale BESS, Inverters/PCS, medium-voltage switchgear, microgrid islanding &amp; black start, thermal management, UL 9540, IEEE 1547, IEEE 2800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6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4965"/>
          <w:sz w:val="24"/>
          <w:szCs w:val="24"/>
          <w:rtl w:val="0"/>
        </w:rPr>
        <w:t xml:space="preserve">Technoeconomic &amp; Quantitative Modeling: </w:t>
      </w:r>
      <w:r w:rsidDel="00000000" w:rsidR="00000000" w:rsidRPr="00000000">
        <w:rPr>
          <w:sz w:val="24"/>
          <w:szCs w:val="24"/>
          <w:rtl w:val="0"/>
        </w:rPr>
        <w:t xml:space="preserve">Cell-to-system BOM modeling, TCO/NPV/IRR analysis, make-or-buy evaluation, Monte Carlo &amp; k-out-of-n reliability, site setback density, Python,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pBdr>
          <w:bottom w:color="1b4965" w:space="1" w:sz="8" w:val="single"/>
        </w:pBdr>
        <w:spacing w:after="60" w:before="200" w:lineRule="auto"/>
        <w:ind w:left="0" w:firstLine="0"/>
        <w:outlineLvl w:val="0"/>
        <w:rPr>
          <w:sz w:val="30"/>
          <w:szCs w:val="30"/>
        </w:rPr>
      </w:pPr>
      <w:r w:rsidDel="00000000" w:rsidR="00000000" w:rsidRPr="00000000">
        <w:rPr>
          <w:b w:val="1"/>
          <w:bCs w:val="1"/>
          <w:color w:val="1b4965"/>
          <w:sz w:val="26"/>
          <w:szCs w:val="26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9648"/>
        </w:tabs>
        <w:spacing w:before="16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4965"/>
          <w:sz w:val="24"/>
          <w:szCs w:val="24"/>
          <w:rtl w:val="0"/>
        </w:rPr>
        <w:t xml:space="preserve">LG Energy Solution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9648"/>
        </w:tabs>
        <w:spacing w:before="60" w:lineRule="auto"/>
        <w:ind w:left="202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Senior Product Manager, Grid-Scale BESS</w:t>
      </w:r>
      <w:r w:rsidDel="00000000" w:rsidR="00000000" w:rsidRPr="00000000">
        <w:rPr>
          <w:i w:val="1"/>
          <w:iCs w:val="1"/>
          <w:color w:val="5b6470"/>
          <w:sz w:val="24"/>
          <w:szCs w:val="24"/>
          <w:rtl w:val="0"/>
        </w:rPr>
        <w:t xml:space="preserve"> | Feb 2021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00" w:lineRule="auto"/>
        <w:ind w:left="518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Expanded the product roadmap</w:t>
      </w:r>
      <w:r w:rsidDel="00000000" w:rsidR="00000000" w:rsidRPr="00000000">
        <w:rPr>
          <w:rtl w:val="0"/>
        </w:rPr>
        <w:t xml:space="preserve"> to include a short-duration AC-integrated 5 MWh BESS container for AI data centers, securing executive buy-in and multi-GWh forward bookings for 2027 delivery.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200" w:lineRule="auto"/>
        <w:ind w:left="518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Defined core BESS product requirements </w:t>
      </w:r>
      <w:r w:rsidDel="00000000" w:rsidR="00000000" w:rsidRPr="00000000">
        <w:rPr>
          <w:rtl w:val="0"/>
        </w:rPr>
        <w:t xml:space="preserve">by engaging hyperscalers and developers alongside sales engineering, translating complex power </w:t>
      </w:r>
      <w:r w:rsidDel="00000000" w:rsidR="00000000" w:rsidRPr="00000000">
        <w:rPr>
          <w:rtl w:val="0"/>
        </w:rPr>
        <w:t xml:space="preserve">challenges </w:t>
      </w:r>
      <w:r w:rsidDel="00000000" w:rsidR="00000000" w:rsidRPr="00000000">
        <w:rPr>
          <w:rtl w:val="0"/>
        </w:rPr>
        <w:t xml:space="preserve">into functional spec</w:t>
      </w:r>
      <w:r w:rsidDel="00000000" w:rsidR="00000000" w:rsidRPr="00000000">
        <w:rPr>
          <w:rtl w:val="0"/>
        </w:rPr>
        <w:t xml:space="preserve">ifications.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00" w:before="0" w:line="259" w:lineRule="auto"/>
        <w:ind w:left="518" w:hanging="360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Drove cross-functional product execution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from concept through release, </w:t>
      </w:r>
      <w:r w:rsidDel="00000000" w:rsidR="00000000" w:rsidRPr="00000000">
        <w:rPr>
          <w:rtl w:val="0"/>
        </w:rPr>
        <w:t xml:space="preserve">including design tradeoffs, </w:t>
      </w:r>
      <w:r w:rsidDel="00000000" w:rsidR="00000000" w:rsidRPr="00000000">
        <w:rPr>
          <w:rtl w:val="0"/>
        </w:rPr>
        <w:t xml:space="preserve">vendor </w:t>
      </w:r>
      <w:r w:rsidDel="00000000" w:rsidR="00000000" w:rsidRPr="00000000">
        <w:rPr>
          <w:rtl w:val="0"/>
        </w:rPr>
        <w:t xml:space="preserve">management</w:t>
      </w:r>
      <w:r w:rsidDel="00000000" w:rsidR="00000000" w:rsidRPr="00000000">
        <w:rPr>
          <w:rtl w:val="0"/>
        </w:rPr>
        <w:t xml:space="preserve">, cost targets, and </w:t>
      </w:r>
      <w:r w:rsidDel="00000000" w:rsidR="00000000" w:rsidRPr="00000000">
        <w:rPr>
          <w:rtl w:val="0"/>
        </w:rPr>
        <w:t xml:space="preserve">qualification testing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F00A">
      <w:pPr>
        <w:keepNext w:val="1"/>
        <w:tabs>
          <w:tab w:val="right" w:leader="none" w:pos="9648"/>
        </w:tabs>
        <w:spacing w:before="14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4965"/>
          <w:sz w:val="24"/>
          <w:szCs w:val="24"/>
          <w:rtl w:val="0"/>
        </w:rPr>
        <w:t xml:space="preserve">LG Energy Solution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9648"/>
        </w:tabs>
        <w:spacing w:before="60" w:lineRule="auto"/>
        <w:ind w:left="202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Senior Systems Engineer, Grid-Scale BESS</w:t>
      </w:r>
      <w:r w:rsidDel="00000000" w:rsidR="00000000" w:rsidRPr="00000000">
        <w:rPr>
          <w:i w:val="1"/>
          <w:iCs w:val="1"/>
          <w:color w:val="5b6470"/>
          <w:sz w:val="24"/>
          <w:szCs w:val="24"/>
          <w:rtl w:val="0"/>
        </w:rPr>
        <w:t xml:space="preserve"> | Feb 2018 – Feb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00" w:before="60" w:line="259.008" w:lineRule="auto"/>
        <w:ind w:left="518" w:hanging="360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Defined product requirements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for </w:t>
      </w:r>
      <w:r w:rsidDel="00000000" w:rsidR="00000000" w:rsidRPr="00000000">
        <w:rPr>
          <w:sz w:val="24"/>
          <w:szCs w:val="24"/>
          <w:rtl w:val="0"/>
        </w:rPr>
        <w:t xml:space="preserve">the company’s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first prefabricated modular 3 MWh BESS container, transitioning from bespoke on-site builds to a factory-integrated system now operating across multi-GWh of utility-scale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59" w:lineRule="auto"/>
        <w:ind w:left="518" w:right="0" w:hanging="360"/>
        <w:jc w:val="left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Led technical sales and application engineering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for IPP developers and EPCs, building degradation models to optimize system sizing, inverter pairings, augmentation schedules, and project economics across varying duty cycles.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9648"/>
        </w:tabs>
        <w:spacing w:before="16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4965"/>
          <w:sz w:val="24"/>
          <w:szCs w:val="24"/>
          <w:rtl w:val="0"/>
        </w:rPr>
        <w:t xml:space="preserve">Comfort Energy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9648"/>
        </w:tabs>
        <w:spacing w:before="60" w:lineRule="auto"/>
        <w:ind w:left="202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Design-Build Engineering Manager, HVAC</w:t>
      </w:r>
      <w:r w:rsidDel="00000000" w:rsidR="00000000" w:rsidRPr="00000000">
        <w:rPr>
          <w:i w:val="1"/>
          <w:iCs w:val="1"/>
          <w:color w:val="5b6470"/>
          <w:sz w:val="24"/>
          <w:szCs w:val="24"/>
          <w:rtl w:val="0"/>
        </w:rPr>
        <w:t xml:space="preserve"> | Jul 2016 – Oct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00" w:before="60" w:line="259.008" w:lineRule="auto"/>
        <w:ind w:left="518" w:hanging="360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Drove commercial sales, RFP proposals, site walks, and mechanical estimating,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cultivating relationships with general contractors, architects, and vendors to secure repeat business.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59" w:lineRule="auto"/>
        <w:ind w:left="518" w:right="0" w:hanging="360"/>
        <w:jc w:val="left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Directed field operations and inventory from procurement to installation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final inspection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, managing costs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labor crews, commissioning, and after-sales service and troubleshooting.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9648"/>
        </w:tabs>
        <w:spacing w:before="16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4965"/>
          <w:sz w:val="24"/>
          <w:szCs w:val="24"/>
          <w:rtl w:val="0"/>
        </w:rPr>
        <w:t xml:space="preserve">Pacific Gas and Electric Company (PG&amp;E)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9648"/>
        </w:tabs>
        <w:spacing w:before="60" w:lineRule="auto"/>
        <w:ind w:left="202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Energy Solutions Engineer</w:t>
      </w:r>
      <w:r w:rsidDel="00000000" w:rsidR="00000000" w:rsidRPr="00000000">
        <w:rPr>
          <w:i w:val="1"/>
          <w:iCs w:val="1"/>
          <w:color w:val="5b6470"/>
          <w:sz w:val="24"/>
          <w:szCs w:val="24"/>
          <w:rtl w:val="0"/>
        </w:rPr>
        <w:t xml:space="preserve"> | Dec 2013 – Jul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00" w:before="60" w:line="259.008" w:lineRule="auto"/>
        <w:ind w:left="518" w:hanging="360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Evaluated customer capital projects across commercial and industrial portfolios,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conducting technical audits and structuring utility incentives to accelerate customer adoption of behind-the-meter energy assets.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59" w:lineRule="auto"/>
        <w:ind w:left="518" w:right="0" w:hanging="360"/>
        <w:jc w:val="left"/>
        <w:rPr>
          <w:sz w:val="24"/>
          <w:szCs w:val="24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Engineered energy efficiency and demand response projects for data centers and critical facilities,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modeling cooling retrofits, economizers, VFDs, and central plant systems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pBdr>
          <w:bottom w:color="1b4965" w:space="1" w:sz="8" w:val="single"/>
        </w:pBdr>
        <w:spacing w:after="60" w:before="200" w:lineRule="auto"/>
        <w:ind w:left="0" w:firstLine="0"/>
        <w:outlineLvl w:val="0"/>
        <w:rPr>
          <w:sz w:val="30"/>
          <w:szCs w:val="30"/>
        </w:rPr>
      </w:pPr>
      <w:r w:rsidDel="00000000" w:rsidR="00000000" w:rsidRPr="00000000">
        <w:rPr>
          <w:b w:val="1"/>
          <w:bCs w:val="1"/>
          <w:color w:val="1b4965"/>
          <w:sz w:val="26"/>
          <w:szCs w:val="26"/>
          <w:rtl w:val="0"/>
        </w:rPr>
        <w:t xml:space="preserve">PERSONAL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9648"/>
        </w:tabs>
        <w:spacing w:before="160" w:lineRule="auto"/>
        <w:ind w:left="0" w:firstLine="0"/>
        <w:rPr>
          <w:color w:val="5b6470"/>
          <w:sz w:val="24"/>
          <w:szCs w:val="24"/>
        </w:rPr>
      </w:pPr>
      <w:r w:rsidDel="00000000" w:rsidR="00000000" w:rsidRPr="00000000">
        <w:rPr>
          <w:b w:val="1"/>
          <w:bCs w:val="1"/>
          <w:color w:val="1b4965"/>
          <w:sz w:val="24"/>
          <w:szCs w:val="24"/>
          <w:rtl w:val="0"/>
        </w:rPr>
        <w:t xml:space="preserve">Financial Research Agent for Paid Trading Community</w:t>
      </w:r>
      <w:r w:rsidDel="00000000" w:rsidR="00000000" w:rsidRPr="00000000">
        <w:rPr>
          <w:i w:val="1"/>
          <w:iCs w:val="1"/>
          <w:color w:val="5b6470"/>
          <w:sz w:val="24"/>
          <w:szCs w:val="24"/>
          <w:rtl w:val="0"/>
        </w:rPr>
        <w:t xml:space="preserve"> | Personal project | Jul 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200" w:before="60" w:line="259.008" w:lineRule="auto"/>
        <w:ind w:left="518" w:hanging="360"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Built an ingestion and extraction pipeline using </w:t>
      </w:r>
      <w:r w:rsidDel="00000000" w:rsidR="00000000" w:rsidRPr="00000000">
        <w:rPr>
          <w:sz w:val="24"/>
          <w:szCs w:val="24"/>
          <w:rtl w:val="0"/>
        </w:rPr>
        <w:t xml:space="preserve">LLM agent API, Railway, and SQLite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to parse and structure 50–100+ daily Wall Street research PDFs across equities and macro for a 100+ member trading community.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00" w:before="60" w:line="259.008" w:lineRule="auto"/>
        <w:ind w:left="518" w:hanging="360"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Automated a cross-bank "Morning Pulse" briefing, synthesizing hundreds of pages of institutional research into overnight prints, high-conviction trade ideas, and economic calendars before market open.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59" w:lineRule="auto"/>
        <w:ind w:left="518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Deployed an interactive </w:t>
      </w:r>
      <w:r w:rsidDel="00000000" w:rsidR="00000000" w:rsidRPr="00000000">
        <w:rPr>
          <w:sz w:val="24"/>
          <w:szCs w:val="24"/>
          <w:rtl w:val="0"/>
        </w:rPr>
        <w:t xml:space="preserve">LLM agent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backed by SQLite and external financial APIs, using tool-calling and RAG to answer market queries, track user trades, and fetch real-time economic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pBdr>
          <w:bottom w:color="1b4965" w:space="1" w:sz="8" w:val="single"/>
        </w:pBdr>
        <w:spacing w:after="60" w:before="200" w:lineRule="auto"/>
        <w:ind w:left="0" w:firstLine="0"/>
        <w:outlineLvl w:val="0"/>
        <w:rPr>
          <w:sz w:val="30"/>
          <w:szCs w:val="30"/>
        </w:rPr>
      </w:pPr>
      <w:r w:rsidDel="00000000" w:rsidR="00000000" w:rsidRPr="00000000">
        <w:rPr>
          <w:b w:val="1"/>
          <w:bCs w:val="1"/>
          <w:color w:val="1b4965"/>
          <w:sz w:val="26"/>
          <w:szCs w:val="26"/>
          <w:rtl w:val="0"/>
        </w:rPr>
        <w:t xml:space="preserve">EDUCATION &amp; LICENSES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9648"/>
        </w:tabs>
        <w:spacing w:before="100" w:line="240" w:lineRule="auto"/>
        <w:ind w:left="0" w:firstLine="0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Master of Business Administration (MBA)</w:t>
      </w:r>
      <w:r w:rsidDel="00000000" w:rsidR="00000000" w:rsidRPr="00000000">
        <w:rPr>
          <w:sz w:val="24"/>
          <w:szCs w:val="24"/>
          <w:rtl w:val="0"/>
        </w:rPr>
        <w:t xml:space="preserve"> | UC Davis Graduate School of Management</w:t>
      </w:r>
      <w:r w:rsidDel="00000000" w:rsidR="00000000" w:rsidRPr="00000000">
        <w:rPr>
          <w:i w:val="1"/>
          <w:iCs w:val="1"/>
          <w:color w:val="5b6470"/>
          <w:sz w:val="24"/>
          <w:szCs w:val="24"/>
          <w:rtl w:val="0"/>
        </w:rPr>
        <w:t xml:space="preserve"> |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9648"/>
        </w:tabs>
        <w:spacing w:before="100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BS, Mechanical Engineering</w:t>
      </w:r>
      <w:r w:rsidDel="00000000" w:rsidR="00000000" w:rsidRPr="00000000">
        <w:rPr>
          <w:sz w:val="24"/>
          <w:szCs w:val="24"/>
          <w:rtl w:val="0"/>
        </w:rPr>
        <w:t xml:space="preserve"> | University of California, Davis (Dean's Honor List)</w:t>
      </w:r>
      <w:r w:rsidDel="00000000" w:rsidR="00000000" w:rsidRPr="00000000">
        <w:rPr>
          <w:i w:val="1"/>
          <w:iCs w:val="1"/>
          <w:color w:val="5b6470"/>
          <w:sz w:val="24"/>
          <w:szCs w:val="24"/>
          <w:rtl w:val="0"/>
        </w:rPr>
        <w:t xml:space="preserve"> |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leader="none" w:pos="9648"/>
        </w:tabs>
        <w:spacing w:before="100" w:line="240" w:lineRule="auto"/>
        <w:ind w:left="0" w:firstLine="0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Professional Engineer (PE), </w:t>
      </w:r>
      <w:r w:rsidDel="00000000" w:rsidR="00000000" w:rsidRPr="00000000">
        <w:rPr>
          <w:b w:val="1"/>
          <w:bCs w:val="1"/>
          <w:rtl w:val="0"/>
        </w:rPr>
        <w:t xml:space="preserve">Thermal Fluids</w:t>
      </w:r>
      <w:r w:rsidDel="00000000" w:rsidR="00000000" w:rsidRPr="00000000">
        <w:rPr>
          <w:sz w:val="24"/>
          <w:szCs w:val="24"/>
          <w:rtl w:val="0"/>
        </w:rPr>
        <w:t xml:space="preserve"> | California License #M38303 (NCEES)</w:t>
      </w:r>
      <w:r w:rsidDel="00000000" w:rsidR="00000000" w:rsidRPr="00000000">
        <w:rPr>
          <w:i w:val="1"/>
          <w:iCs w:val="1"/>
          <w:color w:val="5b6470"/>
          <w:sz w:val="24"/>
          <w:szCs w:val="24"/>
          <w:rtl w:val="0"/>
        </w:rPr>
        <w:t xml:space="preserve"> | 2016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1296" w:right="129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Calibri" w:cs="Calibri" w:eastAsia="Calibri" w:hAnsi="Calibri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before="60" w:line="259.008" w:lineRule="auto"/>
        <w:ind w:left="518" w:hanging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Gabriel Jew - Resume</dc:title>
  <dc:creator>Gabriel Jew</dc:creator>
  <dcterms:modified xsi:type="dcterms:W3CDTF">2026-10-01T00:00:00Z</dcterms:modified>
</cp:coreProperties>
</file>