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r>
        <w:rPr>
          <w:b/>
          <w:color w:val="1B4965"/>
          <w:sz w:val="32"/>
        </w:rPr>
        <w:t>Gabriel Jew, P.E.</w:t>
      </w:r>
    </w:p>
    <w:p>
      <w:pPr>
        <w:spacing w:after="40"/>
      </w:pPr>
      <w:r>
        <w:rPr>
          <w:color w:val="5B6470"/>
          <w:sz w:val="19"/>
        </w:rPr>
        <w:t>San Diego, CA | (510) 388-0629 | gabjew90@gmail.com | linkedin.com/in/gabjew90 | github.com/gabjew90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SUMMARY</w:t>
      </w:r>
    </w:p>
    <w:p>
      <w:r>
        <w:t>Senior product manager for grid-scale BESS at LG Energy Solution, with 8 years in lithium-ion storage from deal engineering to product line ownership. Sells to AI data center customers including Meta, Google, NVIDIA and Microsoft, and to front-of-meter grid storage developers. Licensed Professional Engineer with an MBA in product strategy.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EXPERIENCE</w:t>
      </w:r>
    </w:p>
    <w:p>
      <w:pPr>
        <w:tabs>
          <w:tab w:pos="10512" w:val="right"/>
        </w:tabs>
        <w:spacing w:before="80"/>
      </w:pPr>
      <w:r>
        <w:rPr>
          <w:b/>
        </w:rPr>
        <w:t>LG Energy Solution</w:t>
      </w:r>
      <w:r>
        <w:rPr>
          <w:i/>
          <w:color w:val="5B6470"/>
        </w:rPr>
        <w:tab/>
        <w:t>Feb 2018 – present</w:t>
      </w:r>
    </w:p>
    <w:p>
      <w:pPr>
        <w:tabs>
          <w:tab w:pos="10512" w:val="right"/>
        </w:tabs>
        <w:spacing w:before="40"/>
      </w:pPr>
      <w:r>
        <w:rPr>
          <w:b w:val="0"/>
        </w:rPr>
        <w:t>Senior Product Manager, Grid-Scale BESS</w:t>
      </w:r>
      <w:r>
        <w:rPr>
          <w:i/>
          <w:color w:val="5B6470"/>
        </w:rPr>
        <w:tab/>
        <w:t>Feb 2021 – present</w:t>
      </w:r>
    </w:p>
    <w:p>
      <w:pPr>
        <w:pStyle w:val="ListBullet"/>
      </w:pPr>
      <w:r>
        <w:t>Designed the 2.86 MWh pre-integrated container with Jabil, moving LG from selling racks to integrators to selling a finished product.</w:t>
      </w:r>
    </w:p>
    <w:p>
      <w:pPr>
        <w:pStyle w:val="ListBullet"/>
      </w:pPr>
      <w:r>
        <w:t>Deployed 584 MWh on Fifth Standard in California and 361 MWh on Bright Arrow in Texas with the standardized container.</w:t>
      </w:r>
    </w:p>
    <w:p>
      <w:pPr>
        <w:pStyle w:val="ListBullet"/>
      </w:pPr>
      <w:r>
        <w:t>Won approval for a 2-hour AC-integrated BESS, against a plan to stay at 4-hour, with a techno-economic business case.</w:t>
      </w:r>
    </w:p>
    <w:p>
      <w:pPr>
        <w:pStyle w:val="ListBullet"/>
      </w:pPr>
      <w:r>
        <w:t>Booked about 3 GWh for 2027 on the 2-hour product, now LG's flagship for AI data centers.</w:t>
      </w:r>
    </w:p>
    <w:p>
      <w:pPr>
        <w:pStyle w:val="ListBullet"/>
      </w:pPr>
      <w:r>
        <w:t>Opened the AI data center segment for LG's BESS by defining its ride-through, interconnection and bring-your-own-generation feature set.</w:t>
      </w:r>
    </w:p>
    <w:p>
      <w:pPr>
        <w:pStyle w:val="ListBullet"/>
      </w:pPr>
      <w:r>
        <w:t>Achieved UL 9540 listing for the container, setting fire safety requirements and running hazard mitigation analysis and deflagration CFD with fire consultants.</w:t>
      </w:r>
    </w:p>
    <w:p>
      <w:pPr>
        <w:pStyle w:val="ListBullet"/>
      </w:pPr>
      <w:r>
        <w:t>Set the container's selling price and chose its inverter configuration with a cell-to-system cost model that included customers' EPC cost.</w:t>
      </w:r>
    </w:p>
    <w:p>
      <w:pPr>
        <w:tabs>
          <w:tab w:pos="10512" w:val="right"/>
        </w:tabs>
        <w:spacing w:before="40"/>
      </w:pPr>
      <w:r>
        <w:rPr>
          <w:b w:val="0"/>
        </w:rPr>
        <w:t>Senior Systems Engineer, Energy Storage</w:t>
      </w:r>
      <w:r>
        <w:rPr>
          <w:i/>
          <w:color w:val="5B6470"/>
        </w:rPr>
        <w:tab/>
        <w:t>Feb 2018 – Feb 2021</w:t>
      </w:r>
    </w:p>
    <w:p>
      <w:pPr>
        <w:pStyle w:val="ListBullet"/>
      </w:pPr>
      <w:r>
        <w:t>Cut proposal turnaround from days to hours with battery modeling tools for degradation, thermal and augmentation optimization.</w:t>
      </w:r>
    </w:p>
    <w:p>
      <w:pPr>
        <w:pStyle w:val="ListBullet"/>
      </w:pPr>
      <w:r>
        <w:t>Sized lithium-ion systems for North American deals and negotiated their technical exhibits and bid clarifications with utilities and developers.</w:t>
      </w:r>
    </w:p>
    <w:p>
      <w:pPr>
        <w:tabs>
          <w:tab w:pos="10512" w:val="right"/>
        </w:tabs>
        <w:spacing w:before="80"/>
      </w:pPr>
      <w:r>
        <w:rPr>
          <w:b/>
        </w:rPr>
        <w:t>Comfort Energy</w:t>
      </w:r>
      <w:r>
        <w:rPr>
          <w:color w:val="5B6470"/>
        </w:rPr>
        <w:t xml:space="preserve">  |  Design-Build Engineering Manager, HVAC</w:t>
      </w:r>
      <w:r>
        <w:rPr>
          <w:i/>
          <w:color w:val="5B6470"/>
        </w:rPr>
        <w:tab/>
        <w:t>July 2016 – Oct 2017</w:t>
      </w:r>
    </w:p>
    <w:p>
      <w:pPr>
        <w:pStyle w:val="ListBullet"/>
      </w:pPr>
      <w:r>
        <w:t>Managed sales, design and project management of commercial and luxury residential HVAC projects, exceeding the department's annual project sales goal of $2M.</w:t>
      </w:r>
    </w:p>
    <w:p>
      <w:pPr>
        <w:tabs>
          <w:tab w:pos="10512" w:val="right"/>
        </w:tabs>
        <w:spacing w:before="80"/>
      </w:pPr>
      <w:r>
        <w:rPr>
          <w:b/>
        </w:rPr>
        <w:t>Pacific Gas and Electric</w:t>
      </w:r>
      <w:r>
        <w:rPr>
          <w:color w:val="5B6470"/>
        </w:rPr>
        <w:t xml:space="preserve">  |  Energy Solutions Engineer</w:t>
      </w:r>
      <w:r>
        <w:rPr>
          <w:i/>
          <w:color w:val="5B6470"/>
        </w:rPr>
        <w:tab/>
        <w:t>Dec 2013 – July 2016</w:t>
      </w:r>
    </w:p>
    <w:p>
      <w:pPr>
        <w:pStyle w:val="ListBullet"/>
      </w:pPr>
      <w:r>
        <w:t>Generated cumulative savings of 2,500 kW and 7 million kWh, helping the company exceed its energy-savings goal.</w:t>
      </w:r>
    </w:p>
    <w:p>
      <w:pPr>
        <w:pStyle w:val="ListBullet"/>
      </w:pPr>
      <w:r>
        <w:t>Developed energy-efficiency projects for commercial and industrial customers under statewide efficiency and demand-response incentives, including cogeneration, thermal energy storage and battery peak-shifting.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SELECTED PROJECTS</w:t>
      </w:r>
    </w:p>
    <w:p>
      <w:pPr>
        <w:pStyle w:val="ListBullet"/>
      </w:pPr>
      <w:r>
        <w:rPr>
          <w:b/>
        </w:rPr>
        <w:t>MBA Honda IMPACT Project</w:t>
      </w:r>
      <w:r>
        <w:t>: Built a five-year business plan for Honda to launch hydrogen fuel cells, electrolyzers and second-life EV batteries into the US C&amp;I market.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EDUCATION</w:t>
      </w:r>
    </w:p>
    <w:p>
      <w:r>
        <w:t>MBA (STEM-designated), Product Management/Strategy, UC Davis Graduate School of Management, 2022</w:t>
      </w:r>
    </w:p>
    <w:p>
      <w:r>
        <w:t>BS Mechanical Engineering, UC Davis, 2013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CERTIFICATIONS</w:t>
      </w:r>
    </w:p>
    <w:p>
      <w:r>
        <w:t>California Licensed Professional Engineer #M38303, Thermal and Fluid Systems (NCEES, 2016)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SKILLS</w:t>
      </w:r>
    </w:p>
    <w:p>
      <w:r>
        <w:rPr>
          <w:b/>
          <w:color w:val="1B4965"/>
        </w:rPr>
        <w:t xml:space="preserve">BESS: </w:t>
      </w:r>
      <w:r>
        <w:t>power conversion systems (PCS), BMS, fire safety, codes &amp; standards (UL, NFPA), testing &amp; certification, lithium-ion system design, degradation/thermal modeling, techno-economic analysis</w:t>
      </w:r>
    </w:p>
    <w:p>
      <w:r>
        <w:rPr>
          <w:b/>
          <w:color w:val="1B4965"/>
        </w:rPr>
        <w:t xml:space="preserve">Product &amp; commercial: </w:t>
      </w:r>
      <w:r>
        <w:t>product development, NPI, product strategy, market requirements, competitive analysis, contract negotiation, financial modeling, proposal tendering</w:t>
      </w:r>
    </w:p>
    <w:p>
      <w:r>
        <w:rPr>
          <w:b/>
          <w:color w:val="1B4965"/>
        </w:rPr>
        <w:t xml:space="preserve">Grid/utility: </w:t>
      </w:r>
      <w:r>
        <w:t>power systems, interconnection, demand response, US energy markets (ERCOT), energy efficiency, electricity financial contracts (forwards, tolling, swaps)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ind w:left="317" w:hanging="230"/>
      <w:contextualSpacing/>
    </w:pPr>
    <w:rPr>
      <w:rFonts w:ascii="Calibri" w:hAnsi="Calibri" w:eastAsia="Calibri" w:cs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Gabriel Jew, P.E. resume for Product Line Director, DC Power and BESS at Flex</dc:title>
  <dc:subject/>
  <dc:creator>Gabriel Jew, P.E.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