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tabs>
          <w:tab w:val="left" w:pos="1140"/>
        </w:tabs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9"/>
        <w:gridCol w:w="5921"/>
        <w:tblGridChange w:id="0">
          <w:tblGrid>
            <w:gridCol w:w="1939"/>
            <w:gridCol w:w="5921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3">
            <w:pPr>
              <w:tabs>
                <w:tab w:val="left" w:pos="1140"/>
              </w:tabs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Usuários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pos="1140"/>
              </w:tabs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pos="1140"/>
              </w:tabs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Turistas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1140"/>
              </w:tabs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Usará o software RoadOn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Informar-se sobre sua viagem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Avaliar sua viagem;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Planejar e controlar orçamento;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2.00000000000003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1140"/>
              </w:tabs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 de Viagem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1140"/>
              </w:tabs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Usará o software RoadOn para: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suas viagens</w:t>
            </w:r>
            <w:r w:rsidDel="00000000" w:rsidR="00000000" w:rsidRPr="00000000">
              <w:rPr>
                <w:rtl w:val="0"/>
              </w:rPr>
              <w:t xml:space="preserve"> do início ao fim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eliminando o uso de planilhas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papéis;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clientes;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Informar-se sobre quais viagens são rentáveis;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Planejar e controlar orçamento;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1140"/>
              </w:tabs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pos="1140"/>
        </w:tabs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pos="11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9"/>
        <w:gridCol w:w="5921"/>
        <w:tblGridChange w:id="0">
          <w:tblGrid>
            <w:gridCol w:w="1939"/>
            <w:gridCol w:w="5921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3090"/>
              </w:tabs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Outros Stakeholders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3090"/>
              </w:tabs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pos="3090"/>
              </w:tabs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de planejamento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309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Responsável pelo planejamento e direcionamento das prioridades e tarefas do time técnico e financeiro.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3090"/>
              </w:tabs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de desenvolvimento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309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Responsável pelas decisões e desenvolvimento técnicos do projeto em front-end e back-end do software.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