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Casos de Uso del Sistema Unidad Territorial</w:t>
      </w:r>
    </w:p>
    <w:p>
      <w:r>
        <w:t>Casos de uso principales:</w:t>
      </w:r>
    </w:p>
    <w:p>
      <w:r>
        <w:t>- Registrar inscripción de vecino desde el portal público.</w:t>
      </w:r>
    </w:p>
    <w:p>
      <w:r>
        <w:t>- Solicitar certificado de residencia.</w:t>
      </w:r>
    </w:p>
    <w:p>
      <w:r>
        <w:t>- Publicar y consultar proyectos vecinales.</w:t>
      </w:r>
    </w:p>
    <w:p>
      <w:r>
        <w:t>- Publicar y consultar comunicados y avisos.</w:t>
      </w:r>
    </w:p>
    <w:p>
      <w:r>
        <w:t>- Reservar participación en actividades comunitarias.</w:t>
      </w:r>
    </w:p>
    <w:p>
      <w:r>
        <w:t>- Enviar mensajes a la junta mediante el canal de contacto.</w:t>
      </w:r>
    </w:p>
    <w:p>
      <w:r>
        <w:t>- Gestionar vecinos, certificados, proyectos, actividades y notificaciones desde la intranet.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