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E4E8C"/>
          <w:sz w:val="56"/>
          <w:szCs w:val="56"/>
        </w:rPr>
        <w:t xml:space="preserve">Z-CashFlow</w:t>
      </w:r>
    </w:p>
    <w:p>
      <w:pPr>
        <w:spacing w:after="60"/>
        <w:jc w:val="center"/>
      </w:pPr>
      <w:r>
        <w:rPr>
          <w:color w:val="1A1F29"/>
          <w:sz w:val="28"/>
          <w:szCs w:val="28"/>
        </w:rPr>
        <w:t xml:space="preserve">Projeto Integrador — Etapa 2</w:t>
      </w:r>
    </w:p>
    <w:p>
      <w:pPr>
        <w:spacing w:after="60"/>
        <w:jc w:val="center"/>
      </w:pPr>
      <w:r>
        <w:rPr>
          <w:color w:val="5B6472"/>
          <w:sz w:val="24"/>
          <w:szCs w:val="24"/>
        </w:rPr>
        <w:t xml:space="preserve">Projeto de Usabilidade e Interfaces (UX/UI)</w:t>
      </w:r>
    </w:p>
    <w:p>
      <w:pPr>
        <w:spacing w:after="800"/>
        <w:jc w:val="center"/>
      </w:pPr>
      <w:r>
        <w:rPr>
          <w:i/>
          <w:iCs/>
          <w:color w:val="5B6472"/>
          <w:sz w:val="22"/>
          <w:szCs w:val="22"/>
        </w:rPr>
        <w:t xml:space="preserve">Wireframes, paleta de cores e acessibilidade</w:t>
      </w:r>
    </w:p>
    <w:p>
      <w:pPr>
        <w:spacing w:after="40"/>
        <w:jc w:val="center"/>
      </w:pPr>
      <w:r>
        <w:rPr>
          <w:sz w:val="22"/>
          <w:szCs w:val="22"/>
        </w:rPr>
        <w:t xml:space="preserve">Responsável: Gabriel Teixeira Ricca</w:t>
      </w:r>
    </w:p>
    <w:p>
      <w:pPr>
        <w:spacing w:after="40"/>
        <w:jc w:val="center"/>
      </w:pPr>
      <w:r>
        <w:rPr>
          <w:sz w:val="22"/>
          <w:szCs w:val="22"/>
        </w:rPr>
        <w:t xml:space="preserve">Sistema: Z-CashFlow — controle de fluxo de caixa pessoal</w:t>
      </w:r>
    </w:p>
    <w:p>
      <w:pPr>
        <w:jc w:val="center"/>
      </w:pPr>
      <w:r>
        <w:rPr>
          <w:sz w:val="22"/>
          <w:szCs w:val="22"/>
        </w:rPr>
        <w:t xml:space="preserve">Versão 1.0 — Setembro de 2026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Apresentação</w:t>
      </w:r>
    </w:p>
    <w:p>
      <w:pPr>
        <w:spacing w:after="160"/>
      </w:pPr>
      <w:r>
        <w:t xml:space="preserve">Esta etapa do Projeto Integrador dá continuidade ao desenvolvimento do sistema Z-CashFlow, aplicativo desktop de controle financeiro pessoal iniciado na Etapa 1 (levantamento de requisitos, diagrama de classes e protótipo em Java/MySQL).</w:t>
      </w:r>
    </w:p>
    <w:p>
      <w:pPr>
        <w:spacing w:after="160"/>
      </w:pPr>
      <w:r>
        <w:t xml:space="preserve">O objetivo deste documento é planejar a experiência do usuário (UX) e a interface (UI) do sistema antes da programação das telas, definindo wireframes, fluxo de navegação, paleta de cores, tipografia e diretrizes de acessibilidade que servirão de base para a implementação em Java (Swing/JavaFX).</w:t>
      </w:r>
    </w:p>
    <w:p>
      <w:pPr>
        <w:pStyle w:val="Heading1"/>
        <w:spacing w:after="160" w:before="300"/>
      </w:pPr>
      <w:r>
        <w:t xml:space="preserve">2. Descrição dos usuários (personas)</w:t>
      </w:r>
    </w:p>
    <w:p>
      <w:pPr>
        <w:spacing w:after="160"/>
      </w:pPr>
      <w:r>
        <w:t xml:space="preserve">O sistema é voltado a duas frentes de uso, conforme já definido na documentação de requisitos da Etapa 1:</w:t>
      </w:r>
    </w:p>
    <w:p>
      <w:pPr>
        <w:pStyle w:val="Heading2"/>
        <w:spacing w:after="120" w:before="260"/>
      </w:pPr>
      <w:r>
        <w:t xml:space="preserve">2.1 Usuário Final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Pessoa física que deseja controlar receitas e despesas pessoais.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Baixo a médio conhecimento técnico; espera uma interface simples, objetiva e sem jargões.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Principais tarefas: cadastrar movimentações, consultar saldo, revisar extrato.</w:t>
      </w:r>
    </w:p>
    <w:p>
      <w:pPr>
        <w:pStyle w:val="Heading2"/>
        <w:spacing w:after="120" w:before="260"/>
      </w:pPr>
      <w:r>
        <w:t xml:space="preserve">2.2 Administrador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Responsável por manter as categorias mestre e acompanhar métricas globais de uso.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Conhecimento técnico médio; usa o sistema com menor frequência, porém para tarefas de configuração.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Principais tarefas: gerenciar categorias, gerenciar usuários, revisar relatórios.</w:t>
      </w:r>
    </w:p>
    <w:p>
      <w:pPr>
        <w:spacing w:after="160"/>
      </w:pPr>
      <w:r>
        <w:t xml:space="preserve">Persona de referência: "Gabriel, 24 anos, estagiário de TI. Recebe salário e algumas rendas extras (freelas e FIIs), e quer entender rapidamente, ao abrir o app, quanto pode gastar até o fim do mês, sem precisar montar planilhas."</w:t>
      </w:r>
    </w:p>
    <w:p>
      <w:pPr>
        <w:pStyle w:val="Heading1"/>
        <w:spacing w:after="160" w:before="300"/>
      </w:pPr>
      <w:r>
        <w:t xml:space="preserve">3. Fluxo de navegação</w:t>
      </w:r>
    </w:p>
    <w:p>
      <w:pPr>
        <w:spacing w:after="160"/>
      </w:pPr>
      <w:r>
        <w:t xml:space="preserve">A navegação do sistema desktop segue uma estrutura fixa de barra lateral (sempre visível), o que reduz carga cognitiva e mantém consistência entre as telas — um princípio central de usabilidade para aplicações desktop.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→ Dashboard (tela inicial após autenticação)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→ Nova movimentação (ação principal, sempre visível no topo)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→ Extrato completo (a partir da lista de últimas movimentações)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Barra lateral → Movimentações / Categorias / Relatórios / Configurações</w:t>
      </w:r>
    </w:p>
    <w:p>
      <w:pPr>
        <w:spacing w:after="160"/>
      </w:pPr>
      <w:r>
        <w:t xml:space="preserve">Esse fluxo cobre diretamente os requisitos funcionais RF001 (cadastro de entradas e saídas), RF003 (extrato automatizado) e RF004 (cálculo de saldo em tempo real), definidos na Etapa 1.</w:t>
      </w:r>
    </w:p>
    <w:p>
      <w:pPr>
        <w:pStyle w:val="Heading1"/>
        <w:spacing w:after="160" w:before="300"/>
      </w:pPr>
      <w:r>
        <w:t xml:space="preserve">4. Wireframes (baixa fidelidade)</w:t>
      </w:r>
    </w:p>
    <w:p>
      <w:pPr>
        <w:spacing w:after="160"/>
      </w:pPr>
      <w:r>
        <w:t xml:space="preserve">Os wireframes abaixo representam a estrutura e a hierarquia de informação de cada tela, sem preocupação com estilo visual final — foco em usabilidade, posicionamento e fluxo de leitura (padrão em "F"/"Z", com ações primárias no canto superior direito).</w:t>
      </w:r>
    </w:p>
    <w:p>
      <w:pPr>
        <w:pStyle w:val="Heading2"/>
        <w:spacing w:after="120" w:before="260"/>
      </w:pPr>
      <w:r>
        <w:t xml:space="preserve">4.1 Tela de Login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6472"/>
          <w:sz w:val="20"/>
          <w:szCs w:val="20"/>
        </w:rPr>
        <w:t xml:space="preserve">Figura 1 — Wireframe da tela de autenticação.</w:t>
      </w:r>
    </w:p>
    <w:p>
      <w:pPr>
        <w:spacing w:after="160"/>
      </w:pPr>
      <w:r>
        <w:t xml:space="preserve">Autenticação simples com e-mail e senha, recuperação de senha e opção de criar conta. Tela isolada da navegação principal, sem sidebar.</w:t>
      </w:r>
    </w:p>
    <w:p>
      <w:pPr>
        <w:pStyle w:val="Heading2"/>
        <w:spacing w:after="120" w:before="260"/>
      </w:pPr>
      <w:r>
        <w:t xml:space="preserve">4.2 Dashboard (tela inicial)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6472"/>
          <w:sz w:val="20"/>
          <w:szCs w:val="20"/>
        </w:rPr>
        <w:t xml:space="preserve">Figura 2 — Wireframe do painel principal.</w:t>
      </w:r>
    </w:p>
    <w:p>
      <w:pPr>
        <w:spacing w:after="160"/>
      </w:pPr>
      <w:r>
        <w:t xml:space="preserve">Reúne, em um único olhar, o saldo atual (RF004), o comparativo de entradas e saídas do mês, um gráfico de tendência, distribuição por categoria e as últimas movimentações (RF003). A ação "Nova movimentação" fica sempre acessível.</w:t>
      </w:r>
    </w:p>
    <w:p>
      <w:pPr>
        <w:pStyle w:val="Heading2"/>
        <w:spacing w:after="120" w:before="260"/>
      </w:pPr>
      <w:r>
        <w:t xml:space="preserve">4.3 Cadastro de Movimentação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6472"/>
          <w:sz w:val="20"/>
          <w:szCs w:val="20"/>
        </w:rPr>
        <w:t xml:space="preserve">Figura 3 — Wireframe do formulário de cadastro (RF001).</w:t>
      </w:r>
    </w:p>
    <w:p>
      <w:pPr>
        <w:spacing w:after="160"/>
      </w:pPr>
      <w:r>
        <w:t xml:space="preserve">Formulário curto e direto: tipo (entrada/saída), valor, data, categoria e descrição. Um painel lateral reforça orientações de preenchimento e regras de negócio (RF002).</w:t>
      </w:r>
    </w:p>
    <w:p>
      <w:pPr>
        <w:pStyle w:val="Heading2"/>
        <w:spacing w:after="120" w:before="260"/>
      </w:pPr>
      <w:r>
        <w:t xml:space="preserve">4.4 Extrato de Movimentações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6472"/>
          <w:sz w:val="20"/>
          <w:szCs w:val="20"/>
        </w:rPr>
        <w:t xml:space="preserve">Figura 4 — Wireframe do extrato com filtros (RF003).</w:t>
      </w:r>
    </w:p>
    <w:p>
      <w:pPr>
        <w:spacing w:after="160"/>
      </w:pPr>
      <w:r>
        <w:t xml:space="preserve">Lista tabular com filtros por período, categoria e tipo, além de exportação. Datas sempre no padrão brasileiro (DD/MM/AAAA).</w:t>
      </w:r>
    </w:p>
    <w:p>
      <w:pPr>
        <w:pStyle w:val="Heading2"/>
        <w:spacing w:after="120" w:before="260"/>
      </w:pPr>
      <w:r>
        <w:t xml:space="preserve">4.5 Categorias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6472"/>
          <w:sz w:val="20"/>
          <w:szCs w:val="20"/>
        </w:rPr>
        <w:t xml:space="preserve">Figura 5 — Wireframe da gestão de categorias.</w:t>
      </w:r>
    </w:p>
    <w:p>
      <w:pPr>
        <w:spacing w:after="160"/>
      </w:pPr>
      <w:r>
        <w:t xml:space="preserve">Tela de manutenção (CRUD) das categorias de entrada e saída, usada principalmente pelo perfil Administrador.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5. Paleta de cores e tipografia</w:t>
      </w:r>
    </w:p>
    <w:p>
      <w:pPr>
        <w:spacing w:after="160"/>
      </w:pPr>
      <w:r>
        <w:t xml:space="preserve">A paleta foi escolhida para transmitir confiança e seriedade (tons de azul, comuns em produtos financeiros), com verde e vermelho reservados exclusivamente para indicar entradas e saídas de forma consistente em todo o sistema.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6472"/>
          <w:sz w:val="20"/>
          <w:szCs w:val="20"/>
        </w:rPr>
        <w:t xml:space="preserve">Figura 6 — Paleta de cores do Z-CashFlow.</w:t>
      </w:r>
    </w:p>
    <w:p>
      <w:pPr>
        <w:pStyle w:val="Heading2"/>
        <w:spacing w:after="120" w:before="260"/>
      </w:pPr>
      <w:r>
        <w:t xml:space="preserve">5.1 Tipografia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200"/>
      </w:tblGrid>
      <w:tr>
        <w:tc>
          <w:tcPr>
            <w:tcW w:type="dxa" w:w="3200"/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600"/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 / peso</w:t>
            </w:r>
          </w:p>
        </w:tc>
        <w:tc>
          <w:tcPr>
            <w:tcW w:type="dxa" w:w="2200"/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Títulos (H1)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Segoe UI Semibold / Inter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22–24px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Subtítulos (H2)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Segoe UI Semibold / Inter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16–18px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Corpo de texto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Segoe UI Regular / Inter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13–14px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Rótulos e legendas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Segoe UI Semibold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11–12px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Foi escolhida a família Segoe UI (padrão em ambientes Windows/Java Swing) como fonte primária, com Inter como alternativa multiplataforma — ambas de alta legibilidade em telas e com bom suporte a caracteres acentuados do português.</w:t>
      </w:r>
    </w:p>
    <w:p>
      <w:pPr>
        <w:pStyle w:val="Heading2"/>
        <w:spacing w:after="120" w:before="260"/>
      </w:pPr>
      <w:r>
        <w:t xml:space="preserve">5.2 Telas em alta fidelidade (aplicação da paleta)</w:t>
      </w:r>
    </w:p>
    <w:p>
      <w:pPr>
        <w:spacing w:after="160"/>
      </w:pPr>
      <w:r>
        <w:t xml:space="preserve">Para validar a paleta e a tipografia em contexto real, duas telas foram desenvolvidas em alta fidelidade: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6472"/>
          <w:sz w:val="20"/>
          <w:szCs w:val="20"/>
        </w:rPr>
        <w:t xml:space="preserve">Figura 7 — Dashboard com a paleta de cores aplicada.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6472"/>
          <w:sz w:val="20"/>
          <w:szCs w:val="20"/>
        </w:rPr>
        <w:t xml:space="preserve">Figura 8 — Cadastro de movimentação com a paleta de cores aplicada.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6. Considerações de acessibilidade</w:t>
      </w:r>
    </w:p>
    <w:p>
      <w:pPr>
        <w:spacing w:after="160"/>
      </w:pPr>
      <w:r>
        <w:t xml:space="preserve">As diretrizes abaixo seguem os princípios da WCAG 2.1 (nível AA), adaptados para uma aplicação desktop Java:</w:t>
      </w:r>
    </w:p>
    <w:p>
      <w:pPr>
        <w:pStyle w:val="Heading2"/>
        <w:spacing w:after="120" w:before="260"/>
      </w:pPr>
      <w:r>
        <w:t xml:space="preserve">6.1 Contraste de cores</w:t>
      </w:r>
    </w:p>
    <w:p>
      <w:pPr>
        <w:spacing w:after="160"/>
      </w:pPr>
      <w:r>
        <w:t xml:space="preserve">Todas as combinações de cor de texto sobre fundo usadas na interface foram verificadas e atendem ao mínimo de contraste 4.5:1 (texto normal) exigido pela WCAG 2.1 AA: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c>
          <w:tcPr>
            <w:tcW w:type="dxa" w:w="4200"/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Combinação</w:t>
            </w:r>
          </w:p>
        </w:tc>
        <w:tc>
          <w:tcPr>
            <w:tcW w:type="dxa" w:w="2400"/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Contraste</w:t>
            </w:r>
          </w:p>
        </w:tc>
        <w:tc>
          <w:tcPr>
            <w:tcW w:type="dxa" w:w="2400"/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Conformidade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Azul primário (#1E4E8C) sobre branco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8.3:1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AA / AAA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Verde de entrada (#167A4C) sobre branco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5.4:1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AA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Vermelho de saída (#C1272D) sobre branco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5.8:1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AA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Texto principal (#1A1F29) sobre branco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16.5:1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AA / AAA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Texto secundário (#5B6472) sobre branco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6.0:1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AA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t xml:space="preserve">6.2 Não depender apenas da cor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Valores de entrada e saída usam cor + sinal (+/-) + ícone, nunca cor isoladamente — importante para usuários com daltonismo.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Mensagens de erro em formulários combinam cor, ícone e texto descritivo.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Estado selecionado na navegação lateral usa cor, peso de fonte e uma barra indicadora, não apenas a cor de fundo.</w:t>
      </w:r>
    </w:p>
    <w:p>
      <w:pPr>
        <w:pStyle w:val="Heading2"/>
        <w:spacing w:after="120" w:before="260"/>
      </w:pPr>
      <w:r>
        <w:t xml:space="preserve">6.3 Navegação por teclado e foco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Todos os campos, botões e itens de menu devem ser acessíveis via Tab/Shift+Tab, seguindo a ordem lógica de leitura.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Indicador de foco visível (contorno de 2px na cor primária) em todo elemento interativo.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Atalhos de teclado para ações frequentes (ex.: Ctrl+N para nova movimentação, Enter para salvar, Esc para cancelar).</w:t>
      </w:r>
    </w:p>
    <w:p>
      <w:pPr>
        <w:pStyle w:val="Heading2"/>
        <w:spacing w:after="120" w:before="260"/>
      </w:pPr>
      <w:r>
        <w:t xml:space="preserve">6.4 Leitores de tela e componentes Java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Uso do pacote javax.accessibility (Swing) para atribuir AccessibleName e AccessibleDescription a todos os componentes (JTextField, JButton, JComboBox etc.).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Rótulos (JLabel) associados aos campos via setLabelFor(), garantindo leitura correta por tecnologias assistivas.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Tabelas (extrato) com cabeçalhos de coluna nomeados de forma explícita.</w:t>
      </w:r>
    </w:p>
    <w:p>
      <w:pPr>
        <w:pStyle w:val="Heading2"/>
        <w:spacing w:after="120" w:before="260"/>
      </w:pPr>
      <w:r>
        <w:t xml:space="preserve">6.5 Legibilidade e escala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Textos com tamanho mínimo de 12px, permitindo ajuste de escala do sistema operacional (DPI) sem quebra de layout.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Elementos clicáveis (botões, itens de lista) com área mínima de 32–44px de altura, facilitando o uso por pessoas com limitações motoras.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Layout com espaçamento generoso e agrupamento visual claro (cards), reduzindo a densidade de informação por tela.</w:t>
      </w:r>
    </w:p>
    <w:p>
      <w:pPr>
        <w:pStyle w:val="Heading2"/>
        <w:spacing w:after="120" w:before="260"/>
      </w:pPr>
      <w:r>
        <w:t xml:space="preserve">6.6 Modo escuro (recomendação futura)</w:t>
      </w:r>
    </w:p>
    <w:p>
      <w:pPr>
        <w:spacing w:after="160"/>
      </w:pPr>
      <w:r>
        <w:t xml:space="preserve">Recomenda-se, em etapa futura de implementação, oferecer um tema escuro alternativo, mantendo as mesmas relações de contraste mínimo de 4.5:1, para reduzir fadiga visual em uso prolongado.</w:t>
      </w:r>
    </w:p>
    <w:p>
      <w:pPr>
        <w:pStyle w:val="Heading1"/>
        <w:spacing w:after="160" w:before="300"/>
      </w:pPr>
      <w:r>
        <w:t xml:space="preserve">7.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Programar as telas em Java (Swing ou JavaFX) a partir destes wireframes e da paleta definida.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Conectar os componentes visuais às classes e DAOs já implementados na Etapa 1 (UsuarioDAO, CategoriaDAO, MovimentacaoDAO).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Testar a navegação por teclado e o contraste em ambiente real antes da entrega final.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38dbd7ff5b9cc6717d792c0f0c9e5dacd5a6b7.png"/><Relationship Id="rId8" Type="http://schemas.openxmlformats.org/officeDocument/2006/relationships/image" Target="media/169b769b6010d3cde1cdb2de087c36dd4a34da7b.png"/><Relationship Id="rId9" Type="http://schemas.openxmlformats.org/officeDocument/2006/relationships/image" Target="media/7ac9ba002b78529e7d049b6c741e0b0ed8f44293.png"/><Relationship Id="rId10" Type="http://schemas.openxmlformats.org/officeDocument/2006/relationships/image" Target="media/a3ec079edb4ba3247d9ccec30e202ae50fa420aa.png"/><Relationship Id="rId11" Type="http://schemas.openxmlformats.org/officeDocument/2006/relationships/image" Target="media/ecfd0472fa43b6fcb489e78bae95d488847c7164.png"/><Relationship Id="rId12" Type="http://schemas.openxmlformats.org/officeDocument/2006/relationships/image" Target="media/50721cb6375110f66a8e6175d3aa149221606112.png"/><Relationship Id="rId13" Type="http://schemas.openxmlformats.org/officeDocument/2006/relationships/image" Target="media/cd33721983bf805f4f04dbd7ee2bdf307d462231.png"/><Relationship Id="rId14" Type="http://schemas.openxmlformats.org/officeDocument/2006/relationships/image" Target="media/d19a4a171ae5a1113501d7d9217f1d6e156485d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2026-09-28T19:48:31.509Z</dcterms:created>
  <dcterms:modified xsi:type="dcterms:W3CDTF">2026-09-28T19:48:31.518Z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