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9815B" w14:textId="77777777" w:rsidR="00F16DDF" w:rsidRDefault="00000000">
      <w:pPr>
        <w:pStyle w:val="Ttulo"/>
      </w:pPr>
      <w:r>
        <w:rPr>
          <w:spacing w:val="-2"/>
          <w:w w:val="105"/>
        </w:rPr>
        <w:t>Cuestionario</w:t>
      </w:r>
    </w:p>
    <w:p w14:paraId="17F467E9" w14:textId="77777777" w:rsidR="00F16DDF" w:rsidRDefault="00F16DDF">
      <w:pPr>
        <w:pStyle w:val="Textoindependiente"/>
        <w:ind w:left="0"/>
        <w:rPr>
          <w:rFonts w:ascii="Trebuchet MS"/>
          <w:b/>
          <w:sz w:val="28"/>
        </w:rPr>
      </w:pPr>
    </w:p>
    <w:p w14:paraId="1643260C" w14:textId="77777777" w:rsidR="00F16DDF" w:rsidRDefault="00F16DDF">
      <w:pPr>
        <w:pStyle w:val="Textoindependiente"/>
        <w:spacing w:before="277"/>
        <w:ind w:left="0"/>
        <w:rPr>
          <w:rFonts w:ascii="Trebuchet MS"/>
          <w:b/>
          <w:sz w:val="28"/>
        </w:rPr>
      </w:pPr>
    </w:p>
    <w:p w14:paraId="29174A04" w14:textId="77777777" w:rsidR="00F16DDF" w:rsidRDefault="00000000">
      <w:pPr>
        <w:pStyle w:val="Textoindependiente"/>
        <w:ind w:left="262"/>
      </w:pPr>
      <w:r>
        <w:rPr>
          <w:rFonts w:ascii="Trebuchet MS"/>
          <w:b/>
          <w:spacing w:val="-2"/>
        </w:rPr>
        <w:t>Tema:</w:t>
      </w:r>
      <w:r>
        <w:rPr>
          <w:rFonts w:ascii="Trebuchet MS"/>
          <w:b/>
          <w:spacing w:val="-17"/>
        </w:rPr>
        <w:t xml:space="preserve"> </w:t>
      </w:r>
      <w:r>
        <w:rPr>
          <w:spacing w:val="-2"/>
        </w:rPr>
        <w:t>ISO/IEC</w:t>
      </w:r>
      <w:r>
        <w:rPr>
          <w:spacing w:val="-11"/>
        </w:rPr>
        <w:t xml:space="preserve"> </w:t>
      </w:r>
      <w:r>
        <w:rPr>
          <w:spacing w:val="-2"/>
        </w:rPr>
        <w:t>27001</w:t>
      </w:r>
      <w:r>
        <w:rPr>
          <w:spacing w:val="-9"/>
        </w:rPr>
        <w:t xml:space="preserve"> </w:t>
      </w:r>
      <w:r>
        <w:rPr>
          <w:spacing w:val="-2"/>
        </w:rPr>
        <w:t>vs.</w:t>
      </w:r>
      <w:r>
        <w:rPr>
          <w:spacing w:val="-10"/>
        </w:rPr>
        <w:t xml:space="preserve"> </w:t>
      </w:r>
      <w:r>
        <w:rPr>
          <w:spacing w:val="-2"/>
        </w:rPr>
        <w:t>NIST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Cybersecurity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Framework</w:t>
      </w:r>
      <w:r>
        <w:rPr>
          <w:spacing w:val="-10"/>
        </w:rPr>
        <w:t xml:space="preserve"> </w:t>
      </w:r>
      <w:r>
        <w:rPr>
          <w:spacing w:val="-2"/>
        </w:rPr>
        <w:t>(CSF)</w:t>
      </w:r>
    </w:p>
    <w:p w14:paraId="7D7F4302" w14:textId="77777777" w:rsidR="00F16DDF" w:rsidRDefault="00000000">
      <w:pPr>
        <w:pStyle w:val="Ttulo1"/>
        <w:spacing w:before="125"/>
        <w:ind w:left="262" w:firstLine="0"/>
      </w:pPr>
      <w:r>
        <w:rPr>
          <w:spacing w:val="-2"/>
        </w:rPr>
        <w:t>Instrucciones:</w:t>
      </w:r>
    </w:p>
    <w:p w14:paraId="163A8F7A" w14:textId="77777777" w:rsidR="00F16DDF" w:rsidRDefault="00F16DDF">
      <w:pPr>
        <w:pStyle w:val="Textoindependiente"/>
        <w:spacing w:before="8"/>
        <w:ind w:left="0"/>
        <w:rPr>
          <w:rFonts w:ascii="Trebuchet MS"/>
          <w:b/>
        </w:rPr>
      </w:pPr>
    </w:p>
    <w:p w14:paraId="5F9EF696" w14:textId="77777777" w:rsidR="00F16DDF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0"/>
        <w:ind w:left="981"/>
        <w:rPr>
          <w:sz w:val="24"/>
        </w:rPr>
      </w:pPr>
      <w:r>
        <w:rPr>
          <w:sz w:val="24"/>
        </w:rPr>
        <w:t>Responda</w:t>
      </w:r>
      <w:r>
        <w:rPr>
          <w:spacing w:val="3"/>
          <w:sz w:val="24"/>
        </w:rPr>
        <w:t xml:space="preserve"> </w:t>
      </w:r>
      <w:r>
        <w:rPr>
          <w:sz w:val="24"/>
        </w:rPr>
        <w:t>cada</w:t>
      </w:r>
      <w:r>
        <w:rPr>
          <w:spacing w:val="4"/>
          <w:sz w:val="24"/>
        </w:rPr>
        <w:t xml:space="preserve"> </w:t>
      </w:r>
      <w:r>
        <w:rPr>
          <w:sz w:val="24"/>
        </w:rPr>
        <w:t>pregunta</w:t>
      </w:r>
      <w:r>
        <w:rPr>
          <w:spacing w:val="4"/>
          <w:sz w:val="24"/>
        </w:rPr>
        <w:t xml:space="preserve"> </w:t>
      </w:r>
      <w:r>
        <w:rPr>
          <w:sz w:val="24"/>
        </w:rPr>
        <w:t>en</w:t>
      </w:r>
      <w:r>
        <w:rPr>
          <w:spacing w:val="4"/>
          <w:sz w:val="24"/>
        </w:rPr>
        <w:t xml:space="preserve"> </w:t>
      </w:r>
      <w:r>
        <w:rPr>
          <w:sz w:val="24"/>
        </w:rPr>
        <w:t>3–5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oraciones.</w:t>
      </w:r>
    </w:p>
    <w:p w14:paraId="7066CC54" w14:textId="77777777" w:rsidR="00F16DDF" w:rsidRDefault="00F16DDF">
      <w:pPr>
        <w:pStyle w:val="Textoindependiente"/>
        <w:spacing w:before="20"/>
        <w:ind w:left="0"/>
      </w:pPr>
    </w:p>
    <w:p w14:paraId="32B9ABAD" w14:textId="77777777" w:rsidR="00F16DDF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line="355" w:lineRule="auto"/>
        <w:ind w:left="981" w:right="790"/>
        <w:rPr>
          <w:sz w:val="24"/>
        </w:rPr>
      </w:pPr>
      <w:r>
        <w:rPr>
          <w:sz w:val="24"/>
        </w:rPr>
        <w:t>Cite al menos una fuente confiable (norma, documento oficial, guía del NIST, Ministerio TIC, Superintendencia Financiera de Colombia, etc.).</w:t>
      </w:r>
    </w:p>
    <w:p w14:paraId="17FBDAC0" w14:textId="77777777" w:rsidR="00F16DDF" w:rsidRDefault="00000000">
      <w:pPr>
        <w:pStyle w:val="Prrafodelista"/>
        <w:numPr>
          <w:ilvl w:val="0"/>
          <w:numId w:val="2"/>
        </w:numPr>
        <w:tabs>
          <w:tab w:val="left" w:pos="981"/>
        </w:tabs>
        <w:spacing w:before="161"/>
        <w:ind w:left="981"/>
        <w:rPr>
          <w:sz w:val="24"/>
        </w:rPr>
      </w:pPr>
      <w:r>
        <w:rPr>
          <w:sz w:val="24"/>
        </w:rPr>
        <w:t>Sea</w:t>
      </w:r>
      <w:r>
        <w:rPr>
          <w:spacing w:val="-3"/>
          <w:sz w:val="24"/>
        </w:rPr>
        <w:t xml:space="preserve"> </w:t>
      </w:r>
      <w:r>
        <w:rPr>
          <w:sz w:val="24"/>
        </w:rPr>
        <w:t>claro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ejemplos</w:t>
      </w:r>
      <w:r>
        <w:rPr>
          <w:spacing w:val="-3"/>
          <w:sz w:val="24"/>
        </w:rPr>
        <w:t xml:space="preserve"> </w:t>
      </w:r>
      <w:r>
        <w:rPr>
          <w:sz w:val="24"/>
        </w:rPr>
        <w:t>prácticos</w:t>
      </w:r>
      <w:r>
        <w:rPr>
          <w:spacing w:val="-2"/>
          <w:sz w:val="24"/>
        </w:rPr>
        <w:t xml:space="preserve"> </w:t>
      </w:r>
      <w:r>
        <w:rPr>
          <w:sz w:val="24"/>
        </w:rPr>
        <w:t>cuando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corresponda.</w:t>
      </w:r>
    </w:p>
    <w:p w14:paraId="3403B57E" w14:textId="77777777" w:rsidR="00F16DDF" w:rsidRDefault="00F16DDF">
      <w:pPr>
        <w:pStyle w:val="Textoindependiente"/>
        <w:ind w:left="0"/>
      </w:pPr>
    </w:p>
    <w:p w14:paraId="0D567007" w14:textId="77777777" w:rsidR="00F16DDF" w:rsidRDefault="00F16DDF">
      <w:pPr>
        <w:pStyle w:val="Textoindependiente"/>
        <w:ind w:left="0"/>
      </w:pPr>
    </w:p>
    <w:p w14:paraId="48147A6F" w14:textId="77777777" w:rsidR="00F16DDF" w:rsidRDefault="00F16DDF">
      <w:pPr>
        <w:pStyle w:val="Textoindependiente"/>
        <w:spacing w:before="35"/>
        <w:ind w:left="0"/>
      </w:pPr>
    </w:p>
    <w:p w14:paraId="54A9CF83" w14:textId="77777777" w:rsidR="00F16DDF" w:rsidRDefault="00000000">
      <w:pPr>
        <w:pStyle w:val="Ttulo1"/>
        <w:spacing w:before="0"/>
        <w:ind w:left="262" w:firstLine="0"/>
      </w:pPr>
      <w:r>
        <w:rPr>
          <w:spacing w:val="-2"/>
          <w:w w:val="105"/>
        </w:rPr>
        <w:t>Preguntas</w:t>
      </w:r>
    </w:p>
    <w:p w14:paraId="118AB09B" w14:textId="77777777" w:rsidR="00F16DDF" w:rsidRDefault="00F16DDF">
      <w:pPr>
        <w:pStyle w:val="Textoindependiente"/>
        <w:spacing w:before="6"/>
        <w:ind w:left="0"/>
        <w:rPr>
          <w:rFonts w:ascii="Trebuchet MS"/>
          <w:b/>
        </w:rPr>
      </w:pPr>
    </w:p>
    <w:p w14:paraId="10A5DFE3" w14:textId="77777777" w:rsidR="00F16DDF" w:rsidRDefault="00000000">
      <w:pPr>
        <w:pStyle w:val="Prrafodelista"/>
        <w:numPr>
          <w:ilvl w:val="0"/>
          <w:numId w:val="1"/>
        </w:numPr>
        <w:tabs>
          <w:tab w:val="left" w:pos="980"/>
        </w:tabs>
        <w:ind w:left="980" w:hanging="359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Definición</w:t>
      </w:r>
      <w:r>
        <w:rPr>
          <w:rFonts w:ascii="Trebuchet MS" w:hAnsi="Trebuchet MS"/>
          <w:b/>
          <w:spacing w:val="-10"/>
          <w:sz w:val="24"/>
        </w:rPr>
        <w:t xml:space="preserve"> </w:t>
      </w:r>
      <w:r>
        <w:rPr>
          <w:rFonts w:ascii="Trebuchet MS" w:hAnsi="Trebuchet MS"/>
          <w:b/>
          <w:sz w:val="24"/>
        </w:rPr>
        <w:t>y</w:t>
      </w:r>
      <w:r>
        <w:rPr>
          <w:rFonts w:ascii="Trebuchet MS" w:hAnsi="Trebuchet MS"/>
          <w:b/>
          <w:spacing w:val="-8"/>
          <w:sz w:val="24"/>
        </w:rPr>
        <w:t xml:space="preserve"> </w:t>
      </w:r>
      <w:r>
        <w:rPr>
          <w:rFonts w:ascii="Trebuchet MS" w:hAnsi="Trebuchet MS"/>
          <w:b/>
          <w:spacing w:val="-2"/>
          <w:sz w:val="24"/>
        </w:rPr>
        <w:t>propósito</w:t>
      </w:r>
    </w:p>
    <w:p w14:paraId="468AB612" w14:textId="77777777" w:rsidR="00F16DDF" w:rsidRDefault="00000000">
      <w:pPr>
        <w:pStyle w:val="Textoindependiente"/>
        <w:spacing w:before="128" w:line="355" w:lineRule="auto"/>
      </w:pPr>
      <w:r>
        <w:t>Explique</w:t>
      </w:r>
      <w:r>
        <w:rPr>
          <w:spacing w:val="-10"/>
        </w:rPr>
        <w:t xml:space="preserve"> </w:t>
      </w:r>
      <w:r>
        <w:t>qué</w:t>
      </w:r>
      <w:r>
        <w:rPr>
          <w:spacing w:val="-12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ISO/IEC</w:t>
      </w:r>
      <w:r>
        <w:rPr>
          <w:spacing w:val="-11"/>
        </w:rPr>
        <w:t xml:space="preserve"> </w:t>
      </w:r>
      <w:r>
        <w:t>27001</w:t>
      </w:r>
      <w:r>
        <w:rPr>
          <w:spacing w:val="-1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cuál</w:t>
      </w:r>
      <w:r>
        <w:rPr>
          <w:spacing w:val="-12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objetivo</w:t>
      </w:r>
      <w:r>
        <w:rPr>
          <w:spacing w:val="-11"/>
        </w:rPr>
        <w:t xml:space="preserve"> </w:t>
      </w:r>
      <w:r>
        <w:t>principal.</w:t>
      </w:r>
      <w:r>
        <w:rPr>
          <w:spacing w:val="-11"/>
        </w:rPr>
        <w:t xml:space="preserve"> </w:t>
      </w:r>
      <w:r>
        <w:t>Mencione además si se trata de una norma certificable o no.</w:t>
      </w:r>
    </w:p>
    <w:p w14:paraId="1E50E561" w14:textId="77777777" w:rsidR="00BC2C05" w:rsidRPr="00BC2C05" w:rsidRDefault="00BC2C05" w:rsidP="00BC2C05">
      <w:pPr>
        <w:pStyle w:val="Textoindependiente"/>
        <w:spacing w:before="128" w:line="355" w:lineRule="auto"/>
        <w:rPr>
          <w:color w:val="EE0000"/>
          <w:lang w:val="es-MX"/>
        </w:rPr>
      </w:pPr>
      <w:r w:rsidRPr="00BC2C05">
        <w:rPr>
          <w:color w:val="EE0000"/>
          <w:lang w:val="es-MX"/>
        </w:rPr>
        <w:t xml:space="preserve">ISO/IEC 27001 es una norma internacional que establece los requisitos para implementar un </w:t>
      </w:r>
      <w:r w:rsidRPr="00BC2C05">
        <w:rPr>
          <w:b/>
          <w:bCs/>
          <w:color w:val="EE0000"/>
          <w:lang w:val="es-MX"/>
        </w:rPr>
        <w:t>Sistema de Gestión de Seguridad de la Información (SGSI)</w:t>
      </w:r>
      <w:r w:rsidRPr="00BC2C05">
        <w:rPr>
          <w:color w:val="EE0000"/>
          <w:lang w:val="es-MX"/>
        </w:rPr>
        <w:t xml:space="preserve">. Su objetivo principal es proteger la confidencialidad, integridad y disponibilidad de la información mediante controles de seguridad y procesos documentados. Es una </w:t>
      </w:r>
      <w:r w:rsidRPr="00BC2C05">
        <w:rPr>
          <w:b/>
          <w:bCs/>
          <w:color w:val="EE0000"/>
          <w:lang w:val="es-MX"/>
        </w:rPr>
        <w:t>norma certificable</w:t>
      </w:r>
      <w:r w:rsidRPr="00BC2C05">
        <w:rPr>
          <w:color w:val="EE0000"/>
          <w:lang w:val="es-MX"/>
        </w:rPr>
        <w:t>, lo que permite a las organizaciones demostrar, a través de auditorías, que cumplen con estándares internacionales.</w:t>
      </w:r>
    </w:p>
    <w:p w14:paraId="37E0F384" w14:textId="7C4092B2" w:rsidR="00BC2C05" w:rsidRPr="00BC2C05" w:rsidRDefault="00BC2C05" w:rsidP="00BC2C05">
      <w:pPr>
        <w:pStyle w:val="Textoindependiente"/>
        <w:spacing w:before="128" w:line="355" w:lineRule="auto"/>
        <w:rPr>
          <w:color w:val="EE0000"/>
          <w:lang w:val="en-US"/>
        </w:rPr>
      </w:pPr>
      <w:r w:rsidRPr="00BC2C05">
        <w:rPr>
          <w:b/>
          <w:bCs/>
          <w:color w:val="EE0000"/>
          <w:lang w:val="en-US"/>
        </w:rPr>
        <w:t>Fuente:</w:t>
      </w:r>
      <w:r w:rsidRPr="00BC2C05">
        <w:rPr>
          <w:color w:val="EE0000"/>
          <w:lang w:val="en-US"/>
        </w:rPr>
        <w:t xml:space="preserve"> ISO/IEC 27001:2022 – International Organization for Standardization.</w:t>
      </w:r>
    </w:p>
    <w:p w14:paraId="5277A9A1" w14:textId="77777777" w:rsidR="00F16DDF" w:rsidRDefault="00000000">
      <w:pPr>
        <w:pStyle w:val="Ttulo1"/>
        <w:numPr>
          <w:ilvl w:val="0"/>
          <w:numId w:val="1"/>
        </w:numPr>
        <w:tabs>
          <w:tab w:val="left" w:pos="980"/>
        </w:tabs>
        <w:spacing w:before="160"/>
        <w:ind w:left="980" w:hanging="359"/>
      </w:pPr>
      <w:r>
        <w:t>Funciones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NIST</w:t>
      </w:r>
      <w:r>
        <w:rPr>
          <w:spacing w:val="-8"/>
        </w:rPr>
        <w:t xml:space="preserve"> </w:t>
      </w:r>
      <w:r>
        <w:rPr>
          <w:spacing w:val="-5"/>
        </w:rPr>
        <w:t>CSF</w:t>
      </w:r>
    </w:p>
    <w:p w14:paraId="53B35E34" w14:textId="77777777" w:rsidR="00F16DDF" w:rsidRDefault="00000000">
      <w:pPr>
        <w:pStyle w:val="Textoindependiente"/>
        <w:spacing w:before="126" w:line="355" w:lineRule="auto"/>
      </w:pPr>
      <w:proofErr w:type="gramStart"/>
      <w:r>
        <w:t>¿Cuáles</w:t>
      </w:r>
      <w:r>
        <w:rPr>
          <w:spacing w:val="-8"/>
        </w:rPr>
        <w:t xml:space="preserve"> </w:t>
      </w:r>
      <w:r>
        <w:t>son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funciones</w:t>
      </w:r>
      <w:r>
        <w:rPr>
          <w:spacing w:val="-8"/>
        </w:rPr>
        <w:t xml:space="preserve"> </w:t>
      </w:r>
      <w:r>
        <w:t>principales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NIST</w:t>
      </w:r>
      <w:r>
        <w:rPr>
          <w:spacing w:val="-7"/>
        </w:rPr>
        <w:t xml:space="preserve"> </w:t>
      </w:r>
      <w:proofErr w:type="spellStart"/>
      <w:r>
        <w:t>Cybersecurity</w:t>
      </w:r>
      <w:proofErr w:type="spellEnd"/>
      <w:r>
        <w:rPr>
          <w:spacing w:val="-9"/>
        </w:rPr>
        <w:t xml:space="preserve"> </w:t>
      </w:r>
      <w:r>
        <w:t>Framework (versión 1.</w:t>
      </w:r>
      <w:proofErr w:type="gramEnd"/>
      <w:r>
        <w:t>1) y qué nueva función se incorpora en la versión 2.0 (2024)?</w:t>
      </w:r>
    </w:p>
    <w:p w14:paraId="76BB813A" w14:textId="77777777" w:rsidR="00BC2C05" w:rsidRPr="00BC2C05" w:rsidRDefault="00BC2C05" w:rsidP="00BC2C05">
      <w:pPr>
        <w:pStyle w:val="Textoindependiente"/>
        <w:spacing w:before="126" w:line="355" w:lineRule="auto"/>
        <w:rPr>
          <w:color w:val="EE0000"/>
          <w:lang w:val="es-MX"/>
        </w:rPr>
      </w:pPr>
      <w:r w:rsidRPr="00BC2C05">
        <w:rPr>
          <w:color w:val="EE0000"/>
          <w:lang w:val="es-MX"/>
        </w:rPr>
        <w:t xml:space="preserve">El </w:t>
      </w:r>
      <w:r w:rsidRPr="00BC2C05">
        <w:rPr>
          <w:b/>
          <w:bCs/>
          <w:color w:val="EE0000"/>
          <w:lang w:val="es-MX"/>
        </w:rPr>
        <w:t xml:space="preserve">NIST </w:t>
      </w:r>
      <w:proofErr w:type="spellStart"/>
      <w:r w:rsidRPr="00BC2C05">
        <w:rPr>
          <w:b/>
          <w:bCs/>
          <w:color w:val="EE0000"/>
          <w:lang w:val="es-MX"/>
        </w:rPr>
        <w:t>Cybersecurity</w:t>
      </w:r>
      <w:proofErr w:type="spellEnd"/>
      <w:r w:rsidRPr="00BC2C05">
        <w:rPr>
          <w:b/>
          <w:bCs/>
          <w:color w:val="EE0000"/>
          <w:lang w:val="es-MX"/>
        </w:rPr>
        <w:t xml:space="preserve"> Framework (CSF)</w:t>
      </w:r>
      <w:r w:rsidRPr="00BC2C05">
        <w:rPr>
          <w:color w:val="EE0000"/>
          <w:lang w:val="es-MX"/>
        </w:rPr>
        <w:t xml:space="preserve"> versión 1.1 se basa en cinco funciones principales: </w:t>
      </w:r>
      <w:proofErr w:type="spellStart"/>
      <w:r w:rsidRPr="00BC2C05">
        <w:rPr>
          <w:b/>
          <w:bCs/>
          <w:color w:val="EE0000"/>
          <w:lang w:val="es-MX"/>
        </w:rPr>
        <w:t>Identify</w:t>
      </w:r>
      <w:proofErr w:type="spellEnd"/>
      <w:r w:rsidRPr="00BC2C05">
        <w:rPr>
          <w:b/>
          <w:bCs/>
          <w:color w:val="EE0000"/>
          <w:lang w:val="es-MX"/>
        </w:rPr>
        <w:t xml:space="preserve">, </w:t>
      </w:r>
      <w:proofErr w:type="spellStart"/>
      <w:r w:rsidRPr="00BC2C05">
        <w:rPr>
          <w:b/>
          <w:bCs/>
          <w:color w:val="EE0000"/>
          <w:lang w:val="es-MX"/>
        </w:rPr>
        <w:t>Protect</w:t>
      </w:r>
      <w:proofErr w:type="spellEnd"/>
      <w:r w:rsidRPr="00BC2C05">
        <w:rPr>
          <w:b/>
          <w:bCs/>
          <w:color w:val="EE0000"/>
          <w:lang w:val="es-MX"/>
        </w:rPr>
        <w:t xml:space="preserve">, </w:t>
      </w:r>
      <w:proofErr w:type="spellStart"/>
      <w:r w:rsidRPr="00BC2C05">
        <w:rPr>
          <w:b/>
          <w:bCs/>
          <w:color w:val="EE0000"/>
          <w:lang w:val="es-MX"/>
        </w:rPr>
        <w:t>Detect</w:t>
      </w:r>
      <w:proofErr w:type="spellEnd"/>
      <w:r w:rsidRPr="00BC2C05">
        <w:rPr>
          <w:b/>
          <w:bCs/>
          <w:color w:val="EE0000"/>
          <w:lang w:val="es-MX"/>
        </w:rPr>
        <w:t xml:space="preserve">, </w:t>
      </w:r>
      <w:proofErr w:type="spellStart"/>
      <w:r w:rsidRPr="00BC2C05">
        <w:rPr>
          <w:b/>
          <w:bCs/>
          <w:color w:val="EE0000"/>
          <w:lang w:val="es-MX"/>
        </w:rPr>
        <w:t>Respond</w:t>
      </w:r>
      <w:proofErr w:type="spellEnd"/>
      <w:r w:rsidRPr="00BC2C05">
        <w:rPr>
          <w:b/>
          <w:bCs/>
          <w:color w:val="EE0000"/>
          <w:lang w:val="es-MX"/>
        </w:rPr>
        <w:t xml:space="preserve">, y </w:t>
      </w:r>
      <w:proofErr w:type="spellStart"/>
      <w:r w:rsidRPr="00BC2C05">
        <w:rPr>
          <w:b/>
          <w:bCs/>
          <w:color w:val="EE0000"/>
          <w:lang w:val="es-MX"/>
        </w:rPr>
        <w:t>Recover</w:t>
      </w:r>
      <w:proofErr w:type="spellEnd"/>
      <w:r w:rsidRPr="00BC2C05">
        <w:rPr>
          <w:color w:val="EE0000"/>
          <w:lang w:val="es-MX"/>
        </w:rPr>
        <w:t xml:space="preserve">. Estas funciones ayudan a las organizaciones a gestionar riesgos de ciberseguridad de forma estructurada. En la </w:t>
      </w:r>
      <w:r w:rsidRPr="00BC2C05">
        <w:rPr>
          <w:b/>
          <w:bCs/>
          <w:color w:val="EE0000"/>
          <w:lang w:val="es-MX"/>
        </w:rPr>
        <w:t>versión 2.0 (2024)</w:t>
      </w:r>
      <w:r w:rsidRPr="00BC2C05">
        <w:rPr>
          <w:color w:val="EE0000"/>
          <w:lang w:val="es-MX"/>
        </w:rPr>
        <w:t xml:space="preserve"> se incorpora la nueva función </w:t>
      </w:r>
      <w:proofErr w:type="spellStart"/>
      <w:r w:rsidRPr="00BC2C05">
        <w:rPr>
          <w:b/>
          <w:bCs/>
          <w:color w:val="EE0000"/>
          <w:lang w:val="es-MX"/>
        </w:rPr>
        <w:t>Govern</w:t>
      </w:r>
      <w:proofErr w:type="spellEnd"/>
      <w:r w:rsidRPr="00BC2C05">
        <w:rPr>
          <w:b/>
          <w:bCs/>
          <w:color w:val="EE0000"/>
          <w:lang w:val="es-MX"/>
        </w:rPr>
        <w:t xml:space="preserve"> (Gobernar)</w:t>
      </w:r>
      <w:r w:rsidRPr="00BC2C05">
        <w:rPr>
          <w:color w:val="EE0000"/>
          <w:lang w:val="es-MX"/>
        </w:rPr>
        <w:t xml:space="preserve">, que refuerza el liderazgo, la toma de decisiones y la </w:t>
      </w:r>
      <w:r w:rsidRPr="00BC2C05">
        <w:rPr>
          <w:color w:val="EE0000"/>
          <w:lang w:val="es-MX"/>
        </w:rPr>
        <w:lastRenderedPageBreak/>
        <w:t>alineación de la ciberseguridad con los objetivos estratégicos de la organización.</w:t>
      </w:r>
    </w:p>
    <w:p w14:paraId="0399800A" w14:textId="2B489EFE" w:rsidR="00BC2C05" w:rsidRPr="00BC2C05" w:rsidRDefault="00BC2C05" w:rsidP="00BC2C05">
      <w:pPr>
        <w:pStyle w:val="Textoindependiente"/>
        <w:spacing w:before="126" w:line="355" w:lineRule="auto"/>
        <w:rPr>
          <w:color w:val="EE0000"/>
          <w:lang w:val="es-MX"/>
        </w:rPr>
      </w:pPr>
      <w:r w:rsidRPr="00BC2C05">
        <w:rPr>
          <w:b/>
          <w:bCs/>
          <w:color w:val="EE0000"/>
          <w:lang w:val="es-MX"/>
        </w:rPr>
        <w:t>Fuente:</w:t>
      </w:r>
      <w:r w:rsidRPr="00BC2C05">
        <w:rPr>
          <w:color w:val="EE0000"/>
          <w:lang w:val="es-MX"/>
        </w:rPr>
        <w:t xml:space="preserve"> NIST CSF 1.1 (2018) y NIST CSF 2.0 (2024).</w:t>
      </w:r>
    </w:p>
    <w:p w14:paraId="2331CD21" w14:textId="77777777" w:rsidR="00F16DDF" w:rsidRDefault="00000000">
      <w:pPr>
        <w:pStyle w:val="Ttulo1"/>
        <w:numPr>
          <w:ilvl w:val="0"/>
          <w:numId w:val="1"/>
        </w:numPr>
        <w:tabs>
          <w:tab w:val="left" w:pos="980"/>
        </w:tabs>
        <w:ind w:left="980" w:hanging="359"/>
      </w:pPr>
      <w:r>
        <w:t>Comparación</w:t>
      </w:r>
      <w:r>
        <w:rPr>
          <w:spacing w:val="10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rPr>
          <w:spacing w:val="-2"/>
        </w:rPr>
        <w:t>enfoques</w:t>
      </w:r>
    </w:p>
    <w:p w14:paraId="48973578" w14:textId="77777777" w:rsidR="00F16DDF" w:rsidRDefault="00000000">
      <w:pPr>
        <w:pStyle w:val="Textoindependiente"/>
        <w:spacing w:before="129" w:line="355" w:lineRule="auto"/>
        <w:ind w:right="182"/>
      </w:pPr>
      <w:r>
        <w:t>¿Cuál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diferencia</w:t>
      </w:r>
      <w:r>
        <w:rPr>
          <w:spacing w:val="-12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enfoque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ISO/IEC</w:t>
      </w:r>
      <w:r>
        <w:rPr>
          <w:spacing w:val="-10"/>
        </w:rPr>
        <w:t xml:space="preserve"> </w:t>
      </w:r>
      <w:r>
        <w:t>27001</w:t>
      </w:r>
      <w:r>
        <w:rPr>
          <w:spacing w:val="-10"/>
        </w:rPr>
        <w:t xml:space="preserve"> </w:t>
      </w:r>
      <w:r>
        <w:t>(basado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un SGSI) y el enfoque de NIST CSF (flexibilidad y madurez)?</w:t>
      </w:r>
    </w:p>
    <w:p w14:paraId="7C63AE65" w14:textId="77777777" w:rsidR="00BC2C05" w:rsidRPr="00BC2C05" w:rsidRDefault="00BC2C05" w:rsidP="00BC2C05">
      <w:pPr>
        <w:pStyle w:val="Textoindependiente"/>
        <w:spacing w:before="129" w:line="355" w:lineRule="auto"/>
        <w:ind w:right="182"/>
        <w:rPr>
          <w:color w:val="EE0000"/>
          <w:lang w:val="es-MX"/>
        </w:rPr>
      </w:pPr>
      <w:r w:rsidRPr="00BC2C05">
        <w:rPr>
          <w:color w:val="EE0000"/>
          <w:lang w:val="es-MX"/>
        </w:rPr>
        <w:t xml:space="preserve">ISO/IEC 27001 se enfoca en la </w:t>
      </w:r>
      <w:r w:rsidRPr="00BC2C05">
        <w:rPr>
          <w:b/>
          <w:bCs/>
          <w:color w:val="EE0000"/>
          <w:lang w:val="es-MX"/>
        </w:rPr>
        <w:t>gestión continua</w:t>
      </w:r>
      <w:r w:rsidRPr="00BC2C05">
        <w:rPr>
          <w:color w:val="EE0000"/>
          <w:lang w:val="es-MX"/>
        </w:rPr>
        <w:t xml:space="preserve"> de la seguridad mediante un SGSI, basado en el ciclo </w:t>
      </w:r>
      <w:r w:rsidRPr="00BC2C05">
        <w:rPr>
          <w:b/>
          <w:bCs/>
          <w:color w:val="EE0000"/>
          <w:lang w:val="es-MX"/>
        </w:rPr>
        <w:t>Plan-Do-</w:t>
      </w:r>
      <w:proofErr w:type="spellStart"/>
      <w:r w:rsidRPr="00BC2C05">
        <w:rPr>
          <w:b/>
          <w:bCs/>
          <w:color w:val="EE0000"/>
          <w:lang w:val="es-MX"/>
        </w:rPr>
        <w:t>Check</w:t>
      </w:r>
      <w:proofErr w:type="spellEnd"/>
      <w:r w:rsidRPr="00BC2C05">
        <w:rPr>
          <w:b/>
          <w:bCs/>
          <w:color w:val="EE0000"/>
          <w:lang w:val="es-MX"/>
        </w:rPr>
        <w:t>-</w:t>
      </w:r>
      <w:proofErr w:type="spellStart"/>
      <w:r w:rsidRPr="00BC2C05">
        <w:rPr>
          <w:b/>
          <w:bCs/>
          <w:color w:val="EE0000"/>
          <w:lang w:val="es-MX"/>
        </w:rPr>
        <w:t>Act</w:t>
      </w:r>
      <w:proofErr w:type="spellEnd"/>
      <w:r w:rsidRPr="00BC2C05">
        <w:rPr>
          <w:b/>
          <w:bCs/>
          <w:color w:val="EE0000"/>
          <w:lang w:val="es-MX"/>
        </w:rPr>
        <w:t xml:space="preserve"> (PDCA)</w:t>
      </w:r>
      <w:r w:rsidRPr="00BC2C05">
        <w:rPr>
          <w:color w:val="EE0000"/>
          <w:lang w:val="es-MX"/>
        </w:rPr>
        <w:t xml:space="preserve">, orientado a procesos y certificación. En cambio, el NIST CSF se centra en la </w:t>
      </w:r>
      <w:r w:rsidRPr="00BC2C05">
        <w:rPr>
          <w:b/>
          <w:bCs/>
          <w:color w:val="EE0000"/>
          <w:lang w:val="es-MX"/>
        </w:rPr>
        <w:t>flexibilidad y madurez</w:t>
      </w:r>
      <w:r w:rsidRPr="00BC2C05">
        <w:rPr>
          <w:color w:val="EE0000"/>
          <w:lang w:val="es-MX"/>
        </w:rPr>
        <w:t>, proporcionando guías adaptables a organizaciones de cualquier tamaño, sin exigir certificación. Esta diferencia hace que ISO/IEC 27001 sea más formal y estructurado, mientras que NIST CSF es más dinámico y práctico.</w:t>
      </w:r>
    </w:p>
    <w:p w14:paraId="0640F6D9" w14:textId="508B8927" w:rsidR="00BC2C05" w:rsidRPr="00BC2C05" w:rsidRDefault="00BC2C05" w:rsidP="00BC2C05">
      <w:pPr>
        <w:pStyle w:val="Textoindependiente"/>
        <w:spacing w:before="129" w:line="355" w:lineRule="auto"/>
        <w:ind w:right="182"/>
        <w:rPr>
          <w:color w:val="EE0000"/>
          <w:lang w:val="es-MX"/>
        </w:rPr>
      </w:pPr>
      <w:r w:rsidRPr="00BC2C05">
        <w:rPr>
          <w:b/>
          <w:bCs/>
          <w:color w:val="EE0000"/>
          <w:lang w:val="es-MX"/>
        </w:rPr>
        <w:t>Fuente:</w:t>
      </w:r>
      <w:r w:rsidRPr="00BC2C05">
        <w:rPr>
          <w:color w:val="EE0000"/>
          <w:lang w:val="es-MX"/>
        </w:rPr>
        <w:t xml:space="preserve"> ISO/IEC 27001:2022; NIST CSF 1.1.</w:t>
      </w:r>
    </w:p>
    <w:p w14:paraId="6BEB0532" w14:textId="77777777" w:rsidR="00F16DDF" w:rsidRDefault="00000000">
      <w:pPr>
        <w:pStyle w:val="Ttulo1"/>
        <w:numPr>
          <w:ilvl w:val="0"/>
          <w:numId w:val="1"/>
        </w:numPr>
        <w:tabs>
          <w:tab w:val="left" w:pos="980"/>
        </w:tabs>
        <w:spacing w:before="156"/>
        <w:ind w:left="980" w:hanging="359"/>
      </w:pPr>
      <w:r>
        <w:t xml:space="preserve">Similitudes </w:t>
      </w:r>
      <w:r>
        <w:rPr>
          <w:spacing w:val="-2"/>
        </w:rPr>
        <w:t>clave</w:t>
      </w:r>
    </w:p>
    <w:p w14:paraId="32334FBE" w14:textId="77777777" w:rsidR="00F16DDF" w:rsidRDefault="00000000">
      <w:pPr>
        <w:pStyle w:val="Textoindependiente"/>
        <w:spacing w:before="129" w:line="355" w:lineRule="auto"/>
        <w:ind w:right="216"/>
        <w:rPr>
          <w:spacing w:val="-2"/>
        </w:rPr>
      </w:pPr>
      <w:r>
        <w:t>Mencione</w:t>
      </w:r>
      <w:r>
        <w:rPr>
          <w:spacing w:val="-16"/>
        </w:rPr>
        <w:t xml:space="preserve"> </w:t>
      </w:r>
      <w:r>
        <w:t>al</w:t>
      </w:r>
      <w:r>
        <w:rPr>
          <w:spacing w:val="-16"/>
        </w:rPr>
        <w:t xml:space="preserve"> </w:t>
      </w:r>
      <w:r>
        <w:t>menos</w:t>
      </w:r>
      <w:r>
        <w:rPr>
          <w:spacing w:val="-16"/>
        </w:rPr>
        <w:t xml:space="preserve"> </w:t>
      </w:r>
      <w:r>
        <w:t>dos</w:t>
      </w:r>
      <w:r>
        <w:rPr>
          <w:spacing w:val="-16"/>
        </w:rPr>
        <w:t xml:space="preserve"> </w:t>
      </w:r>
      <w:r>
        <w:t>aspectos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ISO/IEC</w:t>
      </w:r>
      <w:r>
        <w:rPr>
          <w:spacing w:val="-16"/>
        </w:rPr>
        <w:t xml:space="preserve"> </w:t>
      </w:r>
      <w:r>
        <w:t>27001</w:t>
      </w:r>
      <w:r>
        <w:rPr>
          <w:spacing w:val="-1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NIST</w:t>
      </w:r>
      <w:r>
        <w:rPr>
          <w:spacing w:val="-16"/>
        </w:rPr>
        <w:t xml:space="preserve"> </w:t>
      </w:r>
      <w:r>
        <w:t>CSF</w:t>
      </w:r>
      <w:r>
        <w:rPr>
          <w:spacing w:val="-16"/>
        </w:rPr>
        <w:t xml:space="preserve"> </w:t>
      </w:r>
      <w:r>
        <w:t xml:space="preserve">son similares y explique por qué esas coincidencias son relevantes para una </w:t>
      </w:r>
      <w:r>
        <w:rPr>
          <w:spacing w:val="-2"/>
        </w:rPr>
        <w:t>organización.</w:t>
      </w:r>
    </w:p>
    <w:p w14:paraId="6021A3F3" w14:textId="77777777" w:rsidR="00BC2C05" w:rsidRPr="00BC2C05" w:rsidRDefault="00BC2C05" w:rsidP="00BC2C05">
      <w:pPr>
        <w:pStyle w:val="Textoindependiente"/>
        <w:spacing w:before="129" w:line="355" w:lineRule="auto"/>
        <w:ind w:right="216"/>
        <w:rPr>
          <w:color w:val="EE0000"/>
          <w:lang w:val="es-MX"/>
        </w:rPr>
      </w:pPr>
      <w:r w:rsidRPr="00BC2C05">
        <w:rPr>
          <w:color w:val="EE0000"/>
          <w:lang w:val="es-MX"/>
        </w:rPr>
        <w:t>Tanto ISO/IEC 27001 como NIST CSF:</w:t>
      </w:r>
    </w:p>
    <w:p w14:paraId="059B8157" w14:textId="77777777" w:rsidR="00BC2C05" w:rsidRPr="00BC2C05" w:rsidRDefault="00BC2C05" w:rsidP="00BC2C05">
      <w:pPr>
        <w:pStyle w:val="Textoindependiente"/>
        <w:numPr>
          <w:ilvl w:val="0"/>
          <w:numId w:val="3"/>
        </w:numPr>
        <w:spacing w:before="129" w:line="355" w:lineRule="auto"/>
        <w:ind w:right="216"/>
        <w:rPr>
          <w:color w:val="EE0000"/>
          <w:lang w:val="es-MX"/>
        </w:rPr>
      </w:pPr>
      <w:r w:rsidRPr="00BC2C05">
        <w:rPr>
          <w:b/>
          <w:bCs/>
          <w:color w:val="EE0000"/>
          <w:lang w:val="es-MX"/>
        </w:rPr>
        <w:t>Gestionan el riesgo de ciberseguridad</w:t>
      </w:r>
      <w:r w:rsidRPr="00BC2C05">
        <w:rPr>
          <w:color w:val="EE0000"/>
          <w:lang w:val="es-MX"/>
        </w:rPr>
        <w:t>, ayudando a priorizar amenazas críticas.</w:t>
      </w:r>
    </w:p>
    <w:p w14:paraId="39BD94D6" w14:textId="77777777" w:rsidR="00BC2C05" w:rsidRPr="00BC2C05" w:rsidRDefault="00BC2C05" w:rsidP="00BC2C05">
      <w:pPr>
        <w:pStyle w:val="Textoindependiente"/>
        <w:numPr>
          <w:ilvl w:val="0"/>
          <w:numId w:val="3"/>
        </w:numPr>
        <w:spacing w:before="129" w:line="355" w:lineRule="auto"/>
        <w:ind w:right="216"/>
        <w:rPr>
          <w:color w:val="EE0000"/>
          <w:lang w:val="es-MX"/>
        </w:rPr>
      </w:pPr>
      <w:r w:rsidRPr="00BC2C05">
        <w:rPr>
          <w:b/>
          <w:bCs/>
          <w:color w:val="EE0000"/>
          <w:lang w:val="es-MX"/>
        </w:rPr>
        <w:t>Promueven la mejora continua</w:t>
      </w:r>
      <w:r w:rsidRPr="00BC2C05">
        <w:rPr>
          <w:color w:val="EE0000"/>
          <w:lang w:val="es-MX"/>
        </w:rPr>
        <w:t>, ya que ambos marcos requieren revisiones y ajustes periódicos.</w:t>
      </w:r>
    </w:p>
    <w:p w14:paraId="3903B25B" w14:textId="77777777" w:rsidR="00BC2C05" w:rsidRPr="00BC2C05" w:rsidRDefault="00BC2C05" w:rsidP="00BC2C05">
      <w:pPr>
        <w:pStyle w:val="Textoindependiente"/>
        <w:spacing w:before="129" w:line="355" w:lineRule="auto"/>
        <w:ind w:right="216"/>
        <w:rPr>
          <w:color w:val="EE0000"/>
          <w:lang w:val="es-MX"/>
        </w:rPr>
      </w:pPr>
      <w:r w:rsidRPr="00BC2C05">
        <w:rPr>
          <w:color w:val="EE0000"/>
          <w:lang w:val="es-MX"/>
        </w:rPr>
        <w:t>Estas similitudes son relevantes porque las organizaciones pueden integrarlos para fortalecer sus defensas y alinear la seguridad con los objetivos del negocio.</w:t>
      </w:r>
    </w:p>
    <w:p w14:paraId="30283733" w14:textId="07910FB4" w:rsidR="00BC2C05" w:rsidRPr="00BC2C05" w:rsidRDefault="00BC2C05" w:rsidP="00BC2C05">
      <w:pPr>
        <w:pStyle w:val="Textoindependiente"/>
        <w:spacing w:before="129" w:line="355" w:lineRule="auto"/>
        <w:ind w:right="216"/>
        <w:rPr>
          <w:color w:val="EE0000"/>
          <w:lang w:val="es-MX"/>
        </w:rPr>
      </w:pPr>
      <w:r w:rsidRPr="00BC2C05">
        <w:rPr>
          <w:b/>
          <w:bCs/>
          <w:color w:val="EE0000"/>
          <w:lang w:val="es-MX"/>
        </w:rPr>
        <w:t>Fuente:</w:t>
      </w:r>
      <w:r w:rsidRPr="00BC2C05">
        <w:rPr>
          <w:color w:val="EE0000"/>
          <w:lang w:val="es-MX"/>
        </w:rPr>
        <w:t xml:space="preserve"> NIST CSF 1.1; ISO/IEC 27001:2022.</w:t>
      </w:r>
    </w:p>
    <w:p w14:paraId="7586FA2C" w14:textId="77777777" w:rsidR="00F16DDF" w:rsidRDefault="00000000">
      <w:pPr>
        <w:pStyle w:val="Ttulo1"/>
        <w:numPr>
          <w:ilvl w:val="0"/>
          <w:numId w:val="1"/>
        </w:numPr>
        <w:tabs>
          <w:tab w:val="left" w:pos="980"/>
        </w:tabs>
        <w:spacing w:before="161"/>
        <w:ind w:left="980" w:hanging="359"/>
      </w:pPr>
      <w:r>
        <w:t>Ventajas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desventajas</w:t>
      </w:r>
    </w:p>
    <w:p w14:paraId="2D9853F6" w14:textId="388FAAFF" w:rsidR="00F16DDF" w:rsidRDefault="00000000" w:rsidP="00BC2C05">
      <w:pPr>
        <w:pStyle w:val="Textoindependiente"/>
        <w:spacing w:before="128" w:line="355" w:lineRule="auto"/>
        <w:ind w:right="182"/>
      </w:pPr>
      <w:r>
        <w:t>Identifique una</w:t>
      </w:r>
      <w:r>
        <w:rPr>
          <w:spacing w:val="-1"/>
        </w:rPr>
        <w:t xml:space="preserve"> </w:t>
      </w:r>
      <w:r>
        <w:t>ventaja y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desventaja de</w:t>
      </w:r>
      <w:r>
        <w:rPr>
          <w:spacing w:val="-1"/>
        </w:rPr>
        <w:t xml:space="preserve"> </w:t>
      </w:r>
      <w:r>
        <w:t>implementar ISO/IEC 27001,</w:t>
      </w:r>
      <w:r>
        <w:rPr>
          <w:spacing w:val="-1"/>
        </w:rPr>
        <w:t xml:space="preserve"> </w:t>
      </w:r>
      <w:r>
        <w:t>y una ventaja y una desventaja de aplicar NIST CSF.</w:t>
      </w:r>
    </w:p>
    <w:p w14:paraId="21603A40" w14:textId="77777777" w:rsidR="00BC2C05" w:rsidRPr="00BC2C05" w:rsidRDefault="00BC2C05" w:rsidP="00BC2C05">
      <w:pPr>
        <w:pStyle w:val="Textoindependiente"/>
        <w:numPr>
          <w:ilvl w:val="0"/>
          <w:numId w:val="4"/>
        </w:numPr>
        <w:spacing w:line="355" w:lineRule="auto"/>
        <w:rPr>
          <w:color w:val="EE0000"/>
          <w:lang w:val="es-MX"/>
        </w:rPr>
      </w:pPr>
      <w:r w:rsidRPr="00BC2C05">
        <w:rPr>
          <w:b/>
          <w:bCs/>
          <w:color w:val="EE0000"/>
          <w:lang w:val="es-MX"/>
        </w:rPr>
        <w:lastRenderedPageBreak/>
        <w:t>SO/IEC 27001:</w:t>
      </w:r>
    </w:p>
    <w:p w14:paraId="03A77455" w14:textId="77777777" w:rsidR="00BC2C05" w:rsidRPr="00BC2C05" w:rsidRDefault="00BC2C05" w:rsidP="00BC2C05">
      <w:pPr>
        <w:pStyle w:val="Textoindependiente"/>
        <w:numPr>
          <w:ilvl w:val="1"/>
          <w:numId w:val="4"/>
        </w:numPr>
        <w:spacing w:line="355" w:lineRule="auto"/>
        <w:rPr>
          <w:color w:val="EE0000"/>
          <w:lang w:val="es-MX"/>
        </w:rPr>
      </w:pPr>
      <w:r w:rsidRPr="00BC2C05">
        <w:rPr>
          <w:color w:val="EE0000"/>
          <w:lang w:val="es-MX"/>
        </w:rPr>
        <w:t xml:space="preserve">Ventaja: otorga </w:t>
      </w:r>
      <w:r w:rsidRPr="00BC2C05">
        <w:rPr>
          <w:b/>
          <w:bCs/>
          <w:color w:val="EE0000"/>
          <w:lang w:val="es-MX"/>
        </w:rPr>
        <w:t>certificación reconocida internacionalmente</w:t>
      </w:r>
      <w:r w:rsidRPr="00BC2C05">
        <w:rPr>
          <w:color w:val="EE0000"/>
          <w:lang w:val="es-MX"/>
        </w:rPr>
        <w:t>, mejorando la reputación y cumplimiento regulatorio.</w:t>
      </w:r>
    </w:p>
    <w:p w14:paraId="4A269481" w14:textId="77777777" w:rsidR="00BC2C05" w:rsidRPr="00BC2C05" w:rsidRDefault="00BC2C05" w:rsidP="00BC2C05">
      <w:pPr>
        <w:pStyle w:val="Textoindependiente"/>
        <w:numPr>
          <w:ilvl w:val="1"/>
          <w:numId w:val="4"/>
        </w:numPr>
        <w:spacing w:line="355" w:lineRule="auto"/>
        <w:rPr>
          <w:color w:val="EE0000"/>
          <w:lang w:val="es-MX"/>
        </w:rPr>
      </w:pPr>
      <w:r w:rsidRPr="00BC2C05">
        <w:rPr>
          <w:color w:val="EE0000"/>
          <w:lang w:val="es-MX"/>
        </w:rPr>
        <w:t xml:space="preserve">Desventaja: requiere </w:t>
      </w:r>
      <w:r w:rsidRPr="00BC2C05">
        <w:rPr>
          <w:b/>
          <w:bCs/>
          <w:color w:val="EE0000"/>
          <w:lang w:val="es-MX"/>
        </w:rPr>
        <w:t>altos costos y recursos</w:t>
      </w:r>
      <w:r w:rsidRPr="00BC2C05">
        <w:rPr>
          <w:color w:val="EE0000"/>
          <w:lang w:val="es-MX"/>
        </w:rPr>
        <w:t xml:space="preserve">, lo cual puede ser difícil para </w:t>
      </w:r>
      <w:proofErr w:type="spellStart"/>
      <w:r w:rsidRPr="00BC2C05">
        <w:rPr>
          <w:color w:val="EE0000"/>
          <w:lang w:val="es-MX"/>
        </w:rPr>
        <w:t>PyMEs</w:t>
      </w:r>
      <w:proofErr w:type="spellEnd"/>
      <w:r w:rsidRPr="00BC2C05">
        <w:rPr>
          <w:color w:val="EE0000"/>
          <w:lang w:val="es-MX"/>
        </w:rPr>
        <w:t>.</w:t>
      </w:r>
    </w:p>
    <w:p w14:paraId="451BF879" w14:textId="77777777" w:rsidR="00BC2C05" w:rsidRPr="00BC2C05" w:rsidRDefault="00BC2C05" w:rsidP="00BC2C05">
      <w:pPr>
        <w:pStyle w:val="Textoindependiente"/>
        <w:numPr>
          <w:ilvl w:val="0"/>
          <w:numId w:val="4"/>
        </w:numPr>
        <w:spacing w:line="355" w:lineRule="auto"/>
        <w:rPr>
          <w:color w:val="EE0000"/>
          <w:lang w:val="es-MX"/>
        </w:rPr>
      </w:pPr>
      <w:r w:rsidRPr="00BC2C05">
        <w:rPr>
          <w:b/>
          <w:bCs/>
          <w:color w:val="EE0000"/>
          <w:lang w:val="es-MX"/>
        </w:rPr>
        <w:t>NIST CSF:</w:t>
      </w:r>
    </w:p>
    <w:p w14:paraId="5D180B1A" w14:textId="77777777" w:rsidR="00BC2C05" w:rsidRPr="00BC2C05" w:rsidRDefault="00BC2C05" w:rsidP="00BC2C05">
      <w:pPr>
        <w:pStyle w:val="Textoindependiente"/>
        <w:numPr>
          <w:ilvl w:val="1"/>
          <w:numId w:val="4"/>
        </w:numPr>
        <w:spacing w:line="355" w:lineRule="auto"/>
        <w:rPr>
          <w:color w:val="EE0000"/>
          <w:lang w:val="es-MX"/>
        </w:rPr>
      </w:pPr>
      <w:r w:rsidRPr="00BC2C05">
        <w:rPr>
          <w:color w:val="EE0000"/>
          <w:lang w:val="es-MX"/>
        </w:rPr>
        <w:t xml:space="preserve">Ventaja: es </w:t>
      </w:r>
      <w:r w:rsidRPr="00BC2C05">
        <w:rPr>
          <w:b/>
          <w:bCs/>
          <w:color w:val="EE0000"/>
          <w:lang w:val="es-MX"/>
        </w:rPr>
        <w:t>gratuito y flexible</w:t>
      </w:r>
      <w:r w:rsidRPr="00BC2C05">
        <w:rPr>
          <w:color w:val="EE0000"/>
          <w:lang w:val="es-MX"/>
        </w:rPr>
        <w:t>, ideal para iniciar programas de ciberseguridad.</w:t>
      </w:r>
    </w:p>
    <w:p w14:paraId="7E6ED9C8" w14:textId="77777777" w:rsidR="00BC2C05" w:rsidRPr="00BC2C05" w:rsidRDefault="00BC2C05" w:rsidP="00BC2C05">
      <w:pPr>
        <w:pStyle w:val="Textoindependiente"/>
        <w:numPr>
          <w:ilvl w:val="1"/>
          <w:numId w:val="4"/>
        </w:numPr>
        <w:spacing w:line="355" w:lineRule="auto"/>
        <w:rPr>
          <w:color w:val="EE0000"/>
          <w:lang w:val="es-MX"/>
        </w:rPr>
      </w:pPr>
      <w:r w:rsidRPr="00BC2C05">
        <w:rPr>
          <w:color w:val="EE0000"/>
          <w:lang w:val="es-MX"/>
        </w:rPr>
        <w:t>Desventaja: al no ser certificable, puede no demostrar formalmente el cumplimiento a clientes o reguladores.</w:t>
      </w:r>
    </w:p>
    <w:p w14:paraId="3931265E" w14:textId="77777777" w:rsidR="00BC2C05" w:rsidRPr="00BC2C05" w:rsidRDefault="00BC2C05" w:rsidP="00BC2C05">
      <w:pPr>
        <w:pStyle w:val="Ttulo1"/>
        <w:tabs>
          <w:tab w:val="left" w:pos="980"/>
        </w:tabs>
        <w:spacing w:before="95"/>
        <w:ind w:firstLine="0"/>
        <w:rPr>
          <w:color w:val="EE0000"/>
        </w:rPr>
      </w:pPr>
      <w:r w:rsidRPr="00BC2C05">
        <w:rPr>
          <w:color w:val="EE0000"/>
          <w:lang w:val="es-MX"/>
        </w:rPr>
        <w:t>Fuente: ISO.org; NIST.go</w:t>
      </w:r>
      <w:r w:rsidRPr="00BC2C05">
        <w:rPr>
          <w:color w:val="EE0000"/>
          <w:lang w:val="es-MX"/>
        </w:rPr>
        <w:t>v</w:t>
      </w:r>
      <w:r w:rsidRPr="00BC2C05">
        <w:rPr>
          <w:color w:val="EE0000"/>
        </w:rPr>
        <w:t xml:space="preserve"> </w:t>
      </w:r>
    </w:p>
    <w:p w14:paraId="7A221F30" w14:textId="7A12AAD8" w:rsidR="00BC2C05" w:rsidRDefault="00BC2C05" w:rsidP="00BC2C05">
      <w:pPr>
        <w:pStyle w:val="Ttulo1"/>
        <w:numPr>
          <w:ilvl w:val="0"/>
          <w:numId w:val="1"/>
        </w:numPr>
        <w:tabs>
          <w:tab w:val="left" w:pos="980"/>
        </w:tabs>
        <w:spacing w:before="95"/>
        <w:ind w:left="980" w:hanging="359"/>
      </w:pPr>
      <w:r>
        <w:t>Complementariedad</w:t>
      </w:r>
      <w:r>
        <w:rPr>
          <w:spacing w:val="20"/>
        </w:rPr>
        <w:t xml:space="preserve"> </w:t>
      </w:r>
      <w:r>
        <w:rPr>
          <w:spacing w:val="-2"/>
        </w:rPr>
        <w:t>práctica</w:t>
      </w:r>
    </w:p>
    <w:p w14:paraId="0A136343" w14:textId="77777777" w:rsidR="00BC2C05" w:rsidRDefault="00BC2C05" w:rsidP="00BC2C05">
      <w:pPr>
        <w:pStyle w:val="Textoindependiente"/>
        <w:spacing w:before="129" w:line="355" w:lineRule="auto"/>
      </w:pPr>
      <w:r>
        <w:t>Describa cómo una organización podría utilizar ambos marcos en conjunto para mejorar su postura de ciberseguridad.</w:t>
      </w:r>
    </w:p>
    <w:p w14:paraId="14650E2A" w14:textId="77777777" w:rsidR="00BC2C05" w:rsidRPr="00BC2C05" w:rsidRDefault="00BC2C05" w:rsidP="00BC2C05">
      <w:pPr>
        <w:pStyle w:val="Textoindependiente"/>
        <w:spacing w:before="129" w:line="355" w:lineRule="auto"/>
        <w:rPr>
          <w:color w:val="EE0000"/>
          <w:lang w:val="es-MX"/>
        </w:rPr>
      </w:pPr>
      <w:r w:rsidRPr="00BC2C05">
        <w:rPr>
          <w:color w:val="EE0000"/>
          <w:lang w:val="es-MX"/>
        </w:rPr>
        <w:t xml:space="preserve">Una organización puede usar </w:t>
      </w:r>
      <w:r w:rsidRPr="00BC2C05">
        <w:rPr>
          <w:b/>
          <w:bCs/>
          <w:color w:val="EE0000"/>
          <w:lang w:val="es-MX"/>
        </w:rPr>
        <w:t>ISO/IEC 27001</w:t>
      </w:r>
      <w:r w:rsidRPr="00BC2C05">
        <w:rPr>
          <w:color w:val="EE0000"/>
          <w:lang w:val="es-MX"/>
        </w:rPr>
        <w:t xml:space="preserve"> para estructurar un </w:t>
      </w:r>
      <w:r w:rsidRPr="00BC2C05">
        <w:rPr>
          <w:b/>
          <w:bCs/>
          <w:color w:val="EE0000"/>
          <w:lang w:val="es-MX"/>
        </w:rPr>
        <w:t>SGSI</w:t>
      </w:r>
      <w:r w:rsidRPr="00BC2C05">
        <w:rPr>
          <w:color w:val="EE0000"/>
          <w:lang w:val="es-MX"/>
        </w:rPr>
        <w:t xml:space="preserve"> con políticas, procedimientos y controles documentados; al mismo tiempo, puede aplicar el </w:t>
      </w:r>
      <w:r w:rsidRPr="00BC2C05">
        <w:rPr>
          <w:b/>
          <w:bCs/>
          <w:color w:val="EE0000"/>
          <w:lang w:val="es-MX"/>
        </w:rPr>
        <w:t>NIST CSF</w:t>
      </w:r>
      <w:r w:rsidRPr="00BC2C05">
        <w:rPr>
          <w:color w:val="EE0000"/>
          <w:lang w:val="es-MX"/>
        </w:rPr>
        <w:t xml:space="preserve"> como una </w:t>
      </w:r>
      <w:r w:rsidRPr="00BC2C05">
        <w:rPr>
          <w:b/>
          <w:bCs/>
          <w:color w:val="EE0000"/>
          <w:lang w:val="es-MX"/>
        </w:rPr>
        <w:t>guía operativa</w:t>
      </w:r>
      <w:r w:rsidRPr="00BC2C05">
        <w:rPr>
          <w:color w:val="EE0000"/>
          <w:lang w:val="es-MX"/>
        </w:rPr>
        <w:t xml:space="preserve"> para priorizar amenazas y evaluar la madurez de sus procesos. Por ejemplo, una empresa financiera podría mantener la certificación ISO para cumplir requisitos legales y usar NIST CSF para medir el progreso en detección y respuesta a incidentes. Esta combinación mejora la postura de ciberseguridad y la hace más dinámica ante nuevos riesgos.</w:t>
      </w:r>
    </w:p>
    <w:p w14:paraId="7BC47F7A" w14:textId="2321CF87" w:rsidR="00BC2C05" w:rsidRPr="00BC2C05" w:rsidRDefault="00BC2C05" w:rsidP="00BC2C05">
      <w:pPr>
        <w:pStyle w:val="Textoindependiente"/>
        <w:spacing w:before="129" w:line="355" w:lineRule="auto"/>
        <w:rPr>
          <w:color w:val="EE0000"/>
          <w:lang w:val="es-MX"/>
        </w:rPr>
      </w:pPr>
      <w:r w:rsidRPr="00BC2C05">
        <w:rPr>
          <w:b/>
          <w:bCs/>
          <w:color w:val="EE0000"/>
          <w:lang w:val="es-MX"/>
        </w:rPr>
        <w:t>Fuente:</w:t>
      </w:r>
      <w:r w:rsidRPr="00BC2C05">
        <w:rPr>
          <w:color w:val="EE0000"/>
          <w:lang w:val="es-MX"/>
        </w:rPr>
        <w:t xml:space="preserve"> ISO/IEC 27001:2022; NIST CSF 2.0.</w:t>
      </w:r>
    </w:p>
    <w:p w14:paraId="24D3A755" w14:textId="77777777" w:rsidR="00BC2C05" w:rsidRDefault="00BC2C05" w:rsidP="00BC2C05">
      <w:pPr>
        <w:pStyle w:val="Ttulo1"/>
        <w:numPr>
          <w:ilvl w:val="0"/>
          <w:numId w:val="1"/>
        </w:numPr>
        <w:tabs>
          <w:tab w:val="left" w:pos="979"/>
        </w:tabs>
        <w:ind w:left="979" w:hanging="358"/>
      </w:pPr>
      <w:r>
        <w:t>Aplicación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rPr>
          <w:spacing w:val="-2"/>
        </w:rPr>
        <w:t>Colombia</w:t>
      </w:r>
    </w:p>
    <w:p w14:paraId="66C71EE0" w14:textId="77777777" w:rsidR="00BC2C05" w:rsidRDefault="00BC2C05" w:rsidP="00BC2C05">
      <w:pPr>
        <w:pStyle w:val="Textoindependiente"/>
        <w:spacing w:before="128" w:line="355" w:lineRule="auto"/>
        <w:ind w:right="216"/>
      </w:pPr>
      <w:r>
        <w:t>Relacione la Ley 1581 de 2012 (protección de datos personales) con ISO/IEC</w:t>
      </w:r>
      <w:r>
        <w:rPr>
          <w:spacing w:val="-16"/>
        </w:rPr>
        <w:t xml:space="preserve"> </w:t>
      </w:r>
      <w:r>
        <w:t>27001</w:t>
      </w:r>
      <w:r>
        <w:rPr>
          <w:spacing w:val="-1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NIST</w:t>
      </w:r>
      <w:r>
        <w:rPr>
          <w:spacing w:val="-16"/>
        </w:rPr>
        <w:t xml:space="preserve"> </w:t>
      </w:r>
      <w:r>
        <w:t>CSF.</w:t>
      </w:r>
      <w:r>
        <w:rPr>
          <w:spacing w:val="-16"/>
        </w:rPr>
        <w:t xml:space="preserve"> </w:t>
      </w:r>
      <w:r>
        <w:t>¿Cómo</w:t>
      </w:r>
      <w:r>
        <w:rPr>
          <w:spacing w:val="-16"/>
        </w:rPr>
        <w:t xml:space="preserve"> </w:t>
      </w:r>
      <w:r>
        <w:t>ayudan</w:t>
      </w:r>
      <w:r>
        <w:rPr>
          <w:spacing w:val="-16"/>
        </w:rPr>
        <w:t xml:space="preserve"> </w:t>
      </w:r>
      <w:r>
        <w:t>estos</w:t>
      </w:r>
      <w:r>
        <w:rPr>
          <w:spacing w:val="-16"/>
        </w:rPr>
        <w:t xml:space="preserve"> </w:t>
      </w:r>
      <w:r>
        <w:t>marcos</w:t>
      </w:r>
      <w:r>
        <w:rPr>
          <w:spacing w:val="-16"/>
        </w:rPr>
        <w:t xml:space="preserve"> </w:t>
      </w:r>
      <w:r>
        <w:t>al</w:t>
      </w:r>
      <w:r>
        <w:rPr>
          <w:spacing w:val="-16"/>
        </w:rPr>
        <w:t xml:space="preserve"> </w:t>
      </w:r>
      <w:r>
        <w:t>cumplimiento</w:t>
      </w:r>
      <w:r>
        <w:rPr>
          <w:spacing w:val="-16"/>
        </w:rPr>
        <w:t xml:space="preserve"> </w:t>
      </w:r>
      <w:r>
        <w:t>de esta normativa?</w:t>
      </w:r>
    </w:p>
    <w:p w14:paraId="267A63EE" w14:textId="77777777" w:rsidR="00BC2C05" w:rsidRPr="00BC2C05" w:rsidRDefault="00BC2C05" w:rsidP="00BC2C05">
      <w:pPr>
        <w:pStyle w:val="Textoindependiente"/>
        <w:spacing w:before="128" w:line="355" w:lineRule="auto"/>
        <w:ind w:right="216"/>
        <w:rPr>
          <w:color w:val="EE0000"/>
          <w:lang w:val="es-MX"/>
        </w:rPr>
      </w:pPr>
      <w:r w:rsidRPr="00BC2C05">
        <w:rPr>
          <w:color w:val="EE0000"/>
          <w:lang w:val="es-MX"/>
        </w:rPr>
        <w:t xml:space="preserve">La </w:t>
      </w:r>
      <w:r w:rsidRPr="00BC2C05">
        <w:rPr>
          <w:b/>
          <w:bCs/>
          <w:color w:val="EE0000"/>
          <w:lang w:val="es-MX"/>
        </w:rPr>
        <w:t>Ley 1581 de 2012</w:t>
      </w:r>
      <w:r w:rsidRPr="00BC2C05">
        <w:rPr>
          <w:color w:val="EE0000"/>
          <w:lang w:val="es-MX"/>
        </w:rPr>
        <w:t xml:space="preserve"> protege los datos personales de los ciudadanos colombianos. ISO/IEC 27001 ayuda a cumplir esta ley al establecer controles para proteger la </w:t>
      </w:r>
      <w:r w:rsidRPr="00BC2C05">
        <w:rPr>
          <w:b/>
          <w:bCs/>
          <w:color w:val="EE0000"/>
          <w:lang w:val="es-MX"/>
        </w:rPr>
        <w:t>confidencialidad e integridad de los datos</w:t>
      </w:r>
      <w:r w:rsidRPr="00BC2C05">
        <w:rPr>
          <w:color w:val="EE0000"/>
          <w:lang w:val="es-MX"/>
        </w:rPr>
        <w:t xml:space="preserve">, mientras que NIST CSF ofrece buenas prácticas para detectar y responder a </w:t>
      </w:r>
      <w:r w:rsidRPr="00BC2C05">
        <w:rPr>
          <w:color w:val="EE0000"/>
          <w:lang w:val="es-MX"/>
        </w:rPr>
        <w:lastRenderedPageBreak/>
        <w:t>incidentes que comprometan esa información. Juntos, ambos marcos fortalecen la gobernanza de los datos personales y ayudan a evitar sanciones por incumplimiento.</w:t>
      </w:r>
    </w:p>
    <w:p w14:paraId="563CB7D0" w14:textId="59D37F2E" w:rsidR="00BC2C05" w:rsidRPr="00BC2C05" w:rsidRDefault="00BC2C05" w:rsidP="00BC2C05">
      <w:pPr>
        <w:pStyle w:val="Textoindependiente"/>
        <w:spacing w:before="128" w:line="355" w:lineRule="auto"/>
        <w:ind w:right="216"/>
        <w:rPr>
          <w:color w:val="EE0000"/>
          <w:lang w:val="es-MX"/>
        </w:rPr>
      </w:pPr>
      <w:r w:rsidRPr="00BC2C05">
        <w:rPr>
          <w:b/>
          <w:bCs/>
          <w:color w:val="EE0000"/>
          <w:lang w:val="es-MX"/>
        </w:rPr>
        <w:t>Fuente:</w:t>
      </w:r>
      <w:r w:rsidRPr="00BC2C05">
        <w:rPr>
          <w:color w:val="EE0000"/>
          <w:lang w:val="es-MX"/>
        </w:rPr>
        <w:t xml:space="preserve"> Ley 1581 de 2012; Superintendencia de Industria y Comercio (SIC).</w:t>
      </w:r>
    </w:p>
    <w:p w14:paraId="7FF85DA6" w14:textId="77777777" w:rsidR="00BC2C05" w:rsidRDefault="00BC2C05" w:rsidP="00BC2C05">
      <w:pPr>
        <w:pStyle w:val="Ttulo1"/>
        <w:numPr>
          <w:ilvl w:val="0"/>
          <w:numId w:val="1"/>
        </w:numPr>
        <w:tabs>
          <w:tab w:val="left" w:pos="980"/>
        </w:tabs>
        <w:spacing w:before="158"/>
        <w:ind w:left="980" w:hanging="359"/>
      </w:pPr>
      <w:r>
        <w:t>Normativa</w:t>
      </w:r>
      <w:r>
        <w:rPr>
          <w:spacing w:val="24"/>
        </w:rPr>
        <w:t xml:space="preserve"> </w:t>
      </w:r>
      <w:r>
        <w:rPr>
          <w:spacing w:val="-2"/>
        </w:rPr>
        <w:t>sectorial</w:t>
      </w:r>
    </w:p>
    <w:p w14:paraId="762DA72E" w14:textId="77777777" w:rsidR="00BC2C05" w:rsidRDefault="00BC2C05" w:rsidP="00BC2C05">
      <w:pPr>
        <w:pStyle w:val="Textoindependiente"/>
        <w:spacing w:before="129" w:line="355" w:lineRule="auto"/>
        <w:ind w:right="182"/>
      </w:pPr>
      <w:r>
        <w:t>La Circular Externa 007 de 2018 de la Superintendencia Financiera de Colombia</w:t>
      </w:r>
      <w:r>
        <w:rPr>
          <w:spacing w:val="-15"/>
        </w:rPr>
        <w:t xml:space="preserve"> </w:t>
      </w:r>
      <w:r>
        <w:t>establece</w:t>
      </w:r>
      <w:r>
        <w:rPr>
          <w:spacing w:val="-14"/>
        </w:rPr>
        <w:t xml:space="preserve"> </w:t>
      </w:r>
      <w:r>
        <w:t>lineamientos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ciberseguridad.</w:t>
      </w:r>
      <w:r>
        <w:rPr>
          <w:spacing w:val="-15"/>
        </w:rPr>
        <w:t xml:space="preserve"> </w:t>
      </w:r>
      <w:r>
        <w:t>Explique</w:t>
      </w:r>
      <w:r>
        <w:rPr>
          <w:spacing w:val="-14"/>
        </w:rPr>
        <w:t xml:space="preserve"> </w:t>
      </w:r>
      <w:r>
        <w:t>cómo</w:t>
      </w:r>
      <w:r>
        <w:rPr>
          <w:spacing w:val="-15"/>
        </w:rPr>
        <w:t xml:space="preserve"> </w:t>
      </w:r>
      <w:r>
        <w:t>ISO/IEC 27001 y NIST CSF podrían apoyar a una entidad financiera en cumplir con esta regulación.</w:t>
      </w:r>
    </w:p>
    <w:p w14:paraId="2F026ACD" w14:textId="77777777" w:rsidR="00BC2C05" w:rsidRPr="00BC2C05" w:rsidRDefault="00BC2C05" w:rsidP="00BC2C05">
      <w:pPr>
        <w:pStyle w:val="Textoindependiente"/>
        <w:spacing w:before="129" w:line="355" w:lineRule="auto"/>
        <w:ind w:right="182"/>
        <w:rPr>
          <w:b/>
          <w:bCs/>
          <w:color w:val="EE0000"/>
          <w:lang w:val="es-MX"/>
        </w:rPr>
      </w:pPr>
      <w:r w:rsidRPr="00BC2C05">
        <w:rPr>
          <w:b/>
          <w:bCs/>
          <w:color w:val="EE0000"/>
          <w:lang w:val="es-MX"/>
        </w:rPr>
        <w:t>La Circular Externa 007 de 2018 de la Superintendencia Financiera de Colombia exige a las entidades del sector financiero implementar controles para la gestión de riesgos de ciberseguridad. ISO/IEC 27001 facilita el cumplimiento al ofrecer un SGSI formal y auditable, mientras que NIST CSF permite evaluar la madurez de las funciones críticas (como detectar y responder a ciberataques). Esto permite a los bancos y aseguradoras cumplir con la normativa y demostrar resiliencia ante incidentes.</w:t>
      </w:r>
    </w:p>
    <w:p w14:paraId="4FBD8894" w14:textId="09481995" w:rsidR="00BC2C05" w:rsidRPr="00BC2C05" w:rsidRDefault="00BC2C05" w:rsidP="00BC2C05">
      <w:pPr>
        <w:pStyle w:val="Textoindependiente"/>
        <w:spacing w:before="129" w:line="355" w:lineRule="auto"/>
        <w:ind w:right="182"/>
        <w:rPr>
          <w:color w:val="EE0000"/>
          <w:lang w:val="es-MX"/>
        </w:rPr>
      </w:pPr>
      <w:r w:rsidRPr="00BC2C05">
        <w:rPr>
          <w:b/>
          <w:bCs/>
          <w:color w:val="EE0000"/>
          <w:lang w:val="es-MX"/>
        </w:rPr>
        <w:t>Fuente:</w:t>
      </w:r>
      <w:r w:rsidRPr="00BC2C05">
        <w:rPr>
          <w:color w:val="EE0000"/>
          <w:lang w:val="es-MX"/>
        </w:rPr>
        <w:t xml:space="preserve"> Superintendencia Financiera de Colombia, Circular Externa 007 de 2018.</w:t>
      </w:r>
    </w:p>
    <w:p w14:paraId="507395E8" w14:textId="77777777" w:rsidR="00BC2C05" w:rsidRDefault="00BC2C05" w:rsidP="00BC2C05">
      <w:pPr>
        <w:pStyle w:val="Ttulo1"/>
        <w:numPr>
          <w:ilvl w:val="0"/>
          <w:numId w:val="1"/>
        </w:numPr>
        <w:tabs>
          <w:tab w:val="left" w:pos="979"/>
        </w:tabs>
        <w:spacing w:before="162"/>
        <w:ind w:left="979" w:hanging="358"/>
      </w:pPr>
      <w:r>
        <w:t>Caso</w:t>
      </w:r>
      <w:r>
        <w:rPr>
          <w:spacing w:val="6"/>
        </w:rPr>
        <w:t xml:space="preserve"> </w:t>
      </w:r>
      <w:r>
        <w:t>práctico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PyME</w:t>
      </w:r>
      <w:proofErr w:type="spellEnd"/>
    </w:p>
    <w:p w14:paraId="7D4ACB68" w14:textId="77777777" w:rsidR="00BC2C05" w:rsidRDefault="00BC2C05" w:rsidP="00BC2C05">
      <w:pPr>
        <w:pStyle w:val="Textoindependiente"/>
        <w:spacing w:before="128" w:line="355" w:lineRule="auto"/>
      </w:pPr>
      <w:r>
        <w:t>Imagine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pequeña</w:t>
      </w:r>
      <w:r>
        <w:rPr>
          <w:spacing w:val="-6"/>
        </w:rPr>
        <w:t xml:space="preserve"> </w:t>
      </w:r>
      <w:r>
        <w:t>empresa</w:t>
      </w:r>
      <w:r>
        <w:rPr>
          <w:spacing w:val="-6"/>
        </w:rPr>
        <w:t xml:space="preserve"> </w:t>
      </w:r>
      <w:r>
        <w:t>colombiana</w:t>
      </w:r>
      <w:r>
        <w:rPr>
          <w:spacing w:val="-6"/>
        </w:rPr>
        <w:t xml:space="preserve"> </w:t>
      </w:r>
      <w:r>
        <w:t>quiere</w:t>
      </w:r>
      <w:r>
        <w:rPr>
          <w:spacing w:val="-6"/>
        </w:rPr>
        <w:t xml:space="preserve"> </w:t>
      </w:r>
      <w:r>
        <w:t>mejorar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seguridad digital pero no tiene presupuesto para certificarse en ISO/IEC 27001. ¿Qué marco recomendaría implementar primero y por qué?</w:t>
      </w:r>
    </w:p>
    <w:p w14:paraId="1CAF83EE" w14:textId="77777777" w:rsidR="00BC2C05" w:rsidRPr="00BC2C05" w:rsidRDefault="00BC2C05" w:rsidP="00BC2C05">
      <w:pPr>
        <w:pStyle w:val="Textoindependiente"/>
        <w:spacing w:before="128" w:line="355" w:lineRule="auto"/>
        <w:rPr>
          <w:color w:val="EE0000"/>
          <w:lang w:val="es-MX"/>
        </w:rPr>
      </w:pPr>
      <w:r w:rsidRPr="00BC2C05">
        <w:rPr>
          <w:color w:val="EE0000"/>
          <w:lang w:val="es-MX"/>
        </w:rPr>
        <w:t xml:space="preserve">Si una </w:t>
      </w:r>
      <w:proofErr w:type="spellStart"/>
      <w:r w:rsidRPr="00BC2C05">
        <w:rPr>
          <w:b/>
          <w:bCs/>
          <w:color w:val="EE0000"/>
          <w:lang w:val="es-MX"/>
        </w:rPr>
        <w:t>PyME</w:t>
      </w:r>
      <w:proofErr w:type="spellEnd"/>
      <w:r w:rsidRPr="00BC2C05">
        <w:rPr>
          <w:b/>
          <w:bCs/>
          <w:color w:val="EE0000"/>
          <w:lang w:val="es-MX"/>
        </w:rPr>
        <w:t xml:space="preserve"> colombiana</w:t>
      </w:r>
      <w:r w:rsidRPr="00BC2C05">
        <w:rPr>
          <w:color w:val="EE0000"/>
          <w:lang w:val="es-MX"/>
        </w:rPr>
        <w:t xml:space="preserve"> carece de presupuesto para certificarse en ISO/IEC 27001, se recomienda iniciar con </w:t>
      </w:r>
      <w:r w:rsidRPr="00BC2C05">
        <w:rPr>
          <w:b/>
          <w:bCs/>
          <w:color w:val="EE0000"/>
          <w:lang w:val="es-MX"/>
        </w:rPr>
        <w:t>NIST CSF</w:t>
      </w:r>
      <w:r w:rsidRPr="00BC2C05">
        <w:rPr>
          <w:color w:val="EE0000"/>
          <w:lang w:val="es-MX"/>
        </w:rPr>
        <w:t xml:space="preserve">, ya que es </w:t>
      </w:r>
      <w:r w:rsidRPr="00BC2C05">
        <w:rPr>
          <w:b/>
          <w:bCs/>
          <w:color w:val="EE0000"/>
          <w:lang w:val="es-MX"/>
        </w:rPr>
        <w:t>gratuito, flexible y escalable</w:t>
      </w:r>
      <w:r w:rsidRPr="00BC2C05">
        <w:rPr>
          <w:color w:val="EE0000"/>
          <w:lang w:val="es-MX"/>
        </w:rPr>
        <w:t>. Esto le permite implementar prácticas básicas como identificar activos críticos, proteger la red y planificar respuestas a incidentes. Una vez que la empresa madure sus controles y tenga más recursos, puede avanzar hacia la certificación ISO para cumplir con requisitos formales de socios comerciales o contratos.</w:t>
      </w:r>
    </w:p>
    <w:p w14:paraId="577EFAE2" w14:textId="7AB87389" w:rsidR="00BC2C05" w:rsidRPr="00BC2C05" w:rsidRDefault="00BC2C05" w:rsidP="00BC2C05">
      <w:pPr>
        <w:pStyle w:val="Textoindependiente"/>
        <w:spacing w:before="128" w:line="355" w:lineRule="auto"/>
        <w:rPr>
          <w:color w:val="EE0000"/>
          <w:lang w:val="es-MX"/>
        </w:rPr>
      </w:pPr>
      <w:r w:rsidRPr="00BC2C05">
        <w:rPr>
          <w:b/>
          <w:bCs/>
          <w:color w:val="EE0000"/>
          <w:lang w:val="es-MX"/>
        </w:rPr>
        <w:t>Fuente:</w:t>
      </w:r>
      <w:r w:rsidRPr="00BC2C05">
        <w:rPr>
          <w:color w:val="EE0000"/>
          <w:lang w:val="es-MX"/>
        </w:rPr>
        <w:t xml:space="preserve"> NIST CSF 1.1; MinTIC Colombia.</w:t>
      </w:r>
    </w:p>
    <w:p w14:paraId="396A44BA" w14:textId="77777777" w:rsidR="00BC2C05" w:rsidRDefault="00BC2C05" w:rsidP="00BC2C05">
      <w:pPr>
        <w:pStyle w:val="Ttulo1"/>
        <w:numPr>
          <w:ilvl w:val="0"/>
          <w:numId w:val="1"/>
        </w:numPr>
        <w:tabs>
          <w:tab w:val="left" w:pos="980"/>
        </w:tabs>
        <w:ind w:left="980" w:hanging="359"/>
      </w:pPr>
      <w:r>
        <w:lastRenderedPageBreak/>
        <w:t>Reflexión</w:t>
      </w:r>
      <w:r>
        <w:rPr>
          <w:spacing w:val="-15"/>
        </w:rPr>
        <w:t xml:space="preserve"> </w:t>
      </w:r>
      <w:r>
        <w:rPr>
          <w:spacing w:val="-2"/>
        </w:rPr>
        <w:t>crítica</w:t>
      </w:r>
    </w:p>
    <w:p w14:paraId="4157E3EB" w14:textId="07AA368C" w:rsidR="00BC2C05" w:rsidRDefault="00BC2C05" w:rsidP="00BC2C05">
      <w:pPr>
        <w:pStyle w:val="Textoindependiente"/>
        <w:spacing w:before="128" w:line="355" w:lineRule="auto"/>
        <w:ind w:right="216"/>
      </w:pPr>
      <w:r>
        <w:t xml:space="preserve">En su opinión, ¿es más valioso para una organización contar con una </w:t>
      </w:r>
      <w:r>
        <w:rPr>
          <w:spacing w:val="-2"/>
        </w:rPr>
        <w:t>certificación</w:t>
      </w:r>
      <w:r>
        <w:rPr>
          <w:spacing w:val="-7"/>
        </w:rPr>
        <w:t xml:space="preserve"> </w:t>
      </w:r>
      <w:r>
        <w:rPr>
          <w:spacing w:val="-2"/>
        </w:rPr>
        <w:t>ISO/IEC</w:t>
      </w:r>
      <w:r>
        <w:rPr>
          <w:spacing w:val="-7"/>
        </w:rPr>
        <w:t xml:space="preserve"> </w:t>
      </w:r>
      <w:r>
        <w:rPr>
          <w:spacing w:val="-2"/>
        </w:rPr>
        <w:t>27001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rPr>
          <w:spacing w:val="-7"/>
        </w:rPr>
        <w:t xml:space="preserve"> </w:t>
      </w:r>
      <w:r>
        <w:rPr>
          <w:spacing w:val="-2"/>
        </w:rPr>
        <w:t>aplicar</w:t>
      </w:r>
      <w:r>
        <w:rPr>
          <w:spacing w:val="-7"/>
        </w:rPr>
        <w:t xml:space="preserve"> </w:t>
      </w:r>
      <w:r>
        <w:rPr>
          <w:spacing w:val="-2"/>
        </w:rPr>
        <w:t>buenas</w:t>
      </w:r>
      <w:r>
        <w:rPr>
          <w:spacing w:val="-7"/>
        </w:rPr>
        <w:t xml:space="preserve"> </w:t>
      </w:r>
      <w:r>
        <w:rPr>
          <w:spacing w:val="-2"/>
        </w:rPr>
        <w:t>prácticas</w:t>
      </w:r>
      <w:r>
        <w:rPr>
          <w:spacing w:val="-7"/>
        </w:rPr>
        <w:t xml:space="preserve"> </w:t>
      </w:r>
      <w:r>
        <w:rPr>
          <w:spacing w:val="-2"/>
        </w:rPr>
        <w:t>basadas</w:t>
      </w:r>
      <w:r>
        <w:rPr>
          <w:spacing w:val="-7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NIST</w:t>
      </w:r>
      <w:r>
        <w:rPr>
          <w:spacing w:val="-6"/>
        </w:rPr>
        <w:t xml:space="preserve"> </w:t>
      </w:r>
      <w:r>
        <w:rPr>
          <w:spacing w:val="-2"/>
        </w:rPr>
        <w:t xml:space="preserve">CSF </w:t>
      </w:r>
      <w:r>
        <w:t>sin certificación? Justifique su respuesta con ejemplos o casos reales.</w:t>
      </w:r>
    </w:p>
    <w:p w14:paraId="704FFE08" w14:textId="77777777" w:rsidR="00BC2C05" w:rsidRDefault="00BC2C05" w:rsidP="00BC2C05">
      <w:pPr>
        <w:pStyle w:val="Textoindependiente"/>
        <w:spacing w:before="128" w:line="355" w:lineRule="auto"/>
        <w:ind w:right="216"/>
      </w:pPr>
    </w:p>
    <w:p w14:paraId="73B9F6C8" w14:textId="77777777" w:rsidR="00BC2C05" w:rsidRPr="00BC2C05" w:rsidRDefault="00BC2C05" w:rsidP="00BC2C05">
      <w:pPr>
        <w:pStyle w:val="Textoindependiente"/>
        <w:spacing w:line="355" w:lineRule="auto"/>
        <w:rPr>
          <w:color w:val="EE0000"/>
          <w:lang w:val="es-MX"/>
        </w:rPr>
      </w:pPr>
      <w:r w:rsidRPr="00BC2C05">
        <w:rPr>
          <w:color w:val="EE0000"/>
          <w:lang w:val="es-MX"/>
        </w:rPr>
        <w:t xml:space="preserve">Contar con una </w:t>
      </w:r>
      <w:r w:rsidRPr="00BC2C05">
        <w:rPr>
          <w:b/>
          <w:bCs/>
          <w:color w:val="EE0000"/>
          <w:lang w:val="es-MX"/>
        </w:rPr>
        <w:t>certificación ISO/IEC 27001</w:t>
      </w:r>
      <w:r w:rsidRPr="00BC2C05">
        <w:rPr>
          <w:color w:val="EE0000"/>
          <w:lang w:val="es-MX"/>
        </w:rPr>
        <w:t xml:space="preserve"> puede ser más valioso para empresas que operan en sectores regulados (como bancos o salud) porque demuestra oficialmente el cumplimiento de estándares internacionales. Sin embargo, para organizaciones pequeñas o en crecimiento, </w:t>
      </w:r>
      <w:r w:rsidRPr="00BC2C05">
        <w:rPr>
          <w:b/>
          <w:bCs/>
          <w:color w:val="EE0000"/>
          <w:lang w:val="es-MX"/>
        </w:rPr>
        <w:t>aplicar buenas prácticas de NIST CSF</w:t>
      </w:r>
      <w:r w:rsidRPr="00BC2C05">
        <w:rPr>
          <w:color w:val="EE0000"/>
          <w:lang w:val="es-MX"/>
        </w:rPr>
        <w:t xml:space="preserve"> puede generar beneficios inmediatos en reducción de riesgos sin los costos de certificación. Por ejemplo, una </w:t>
      </w:r>
      <w:proofErr w:type="spellStart"/>
      <w:r w:rsidRPr="00BC2C05">
        <w:rPr>
          <w:color w:val="EE0000"/>
          <w:lang w:val="es-MX"/>
        </w:rPr>
        <w:t>PyME</w:t>
      </w:r>
      <w:proofErr w:type="spellEnd"/>
      <w:r w:rsidRPr="00BC2C05">
        <w:rPr>
          <w:color w:val="EE0000"/>
          <w:lang w:val="es-MX"/>
        </w:rPr>
        <w:t xml:space="preserve"> tecnológica puede fortalecer su postura de seguridad con NIST CSF y más adelante buscar la certificación ISO para obtener ventaja competitiva.</w:t>
      </w:r>
    </w:p>
    <w:p w14:paraId="403D530A" w14:textId="77777777" w:rsidR="00BC2C05" w:rsidRPr="00BC2C05" w:rsidRDefault="00BC2C05" w:rsidP="00BC2C05">
      <w:pPr>
        <w:pStyle w:val="Textoindependiente"/>
        <w:spacing w:line="355" w:lineRule="auto"/>
        <w:rPr>
          <w:color w:val="EE0000"/>
          <w:lang w:val="es-MX"/>
        </w:rPr>
      </w:pPr>
      <w:r w:rsidRPr="00BC2C05">
        <w:rPr>
          <w:b/>
          <w:bCs/>
          <w:color w:val="EE0000"/>
          <w:lang w:val="es-MX"/>
        </w:rPr>
        <w:t>Fuente:</w:t>
      </w:r>
      <w:r w:rsidRPr="00BC2C05">
        <w:rPr>
          <w:color w:val="EE0000"/>
          <w:lang w:val="es-MX"/>
        </w:rPr>
        <w:t xml:space="preserve"> ISO/IEC 27001:2022; NIST CSF 2.0.</w:t>
      </w:r>
    </w:p>
    <w:p w14:paraId="163BAECB" w14:textId="77777777" w:rsidR="00BC2C05" w:rsidRDefault="00BC2C05" w:rsidP="00BC2C05">
      <w:pPr>
        <w:pStyle w:val="Textoindependiente"/>
        <w:spacing w:line="355" w:lineRule="auto"/>
        <w:rPr>
          <w:lang w:val="es-MX"/>
        </w:rPr>
      </w:pPr>
    </w:p>
    <w:p w14:paraId="3865E977" w14:textId="77777777" w:rsidR="00BC2C05" w:rsidRDefault="00BC2C05" w:rsidP="00BC2C05">
      <w:pPr>
        <w:pStyle w:val="Textoindependiente"/>
        <w:spacing w:line="355" w:lineRule="auto"/>
        <w:rPr>
          <w:lang w:val="es-MX"/>
        </w:rPr>
      </w:pPr>
    </w:p>
    <w:p w14:paraId="5C07ACF0" w14:textId="77777777" w:rsidR="00BC2C05" w:rsidRDefault="00BC2C05" w:rsidP="00BC2C05">
      <w:pPr>
        <w:pStyle w:val="Textoindependiente"/>
        <w:spacing w:line="355" w:lineRule="auto"/>
        <w:rPr>
          <w:lang w:val="es-MX"/>
        </w:rPr>
      </w:pPr>
    </w:p>
    <w:p w14:paraId="7DABF65D" w14:textId="77777777" w:rsidR="00BC2C05" w:rsidRDefault="00BC2C05" w:rsidP="00BC2C05">
      <w:pPr>
        <w:pStyle w:val="Textoindependiente"/>
        <w:spacing w:line="355" w:lineRule="auto"/>
        <w:rPr>
          <w:lang w:val="es-MX"/>
        </w:rPr>
      </w:pPr>
    </w:p>
    <w:p w14:paraId="1C62C851" w14:textId="77777777" w:rsidR="00BC2C05" w:rsidRDefault="00BC2C05" w:rsidP="00BC2C05">
      <w:pPr>
        <w:pStyle w:val="Textoindependiente"/>
        <w:spacing w:line="355" w:lineRule="auto"/>
        <w:rPr>
          <w:lang w:val="es-MX"/>
        </w:rPr>
      </w:pPr>
    </w:p>
    <w:p w14:paraId="150D349D" w14:textId="77777777" w:rsidR="00BC2C05" w:rsidRDefault="00BC2C05" w:rsidP="00BC2C05">
      <w:pPr>
        <w:pStyle w:val="Textoindependiente"/>
        <w:spacing w:line="355" w:lineRule="auto"/>
        <w:rPr>
          <w:lang w:val="es-MX"/>
        </w:rPr>
      </w:pPr>
    </w:p>
    <w:p w14:paraId="6E1411D1" w14:textId="77777777" w:rsidR="00BC2C05" w:rsidRDefault="00BC2C05" w:rsidP="00BC2C05">
      <w:pPr>
        <w:pStyle w:val="Textoindependiente"/>
        <w:spacing w:line="355" w:lineRule="auto"/>
        <w:rPr>
          <w:lang w:val="es-MX"/>
        </w:rPr>
      </w:pPr>
    </w:p>
    <w:p w14:paraId="7730BA26" w14:textId="77777777" w:rsidR="00BC2C05" w:rsidRDefault="00BC2C05" w:rsidP="00BC2C05">
      <w:pPr>
        <w:pStyle w:val="Textoindependiente"/>
        <w:spacing w:line="355" w:lineRule="auto"/>
        <w:rPr>
          <w:lang w:val="es-MX"/>
        </w:rPr>
      </w:pPr>
    </w:p>
    <w:p w14:paraId="0BD4F2AE" w14:textId="77777777" w:rsidR="00BC2C05" w:rsidRDefault="00BC2C05" w:rsidP="00BC2C05">
      <w:pPr>
        <w:pStyle w:val="Textoindependiente"/>
        <w:spacing w:line="355" w:lineRule="auto"/>
        <w:rPr>
          <w:lang w:val="es-MX"/>
        </w:rPr>
      </w:pPr>
    </w:p>
    <w:p w14:paraId="4B20A338" w14:textId="77777777" w:rsidR="00BC2C05" w:rsidRDefault="00BC2C05" w:rsidP="00BC2C05">
      <w:pPr>
        <w:pStyle w:val="Textoindependiente"/>
        <w:spacing w:line="355" w:lineRule="auto"/>
        <w:rPr>
          <w:lang w:val="es-MX"/>
        </w:rPr>
      </w:pPr>
    </w:p>
    <w:p w14:paraId="497DCEB0" w14:textId="77777777" w:rsidR="00BC2C05" w:rsidRDefault="00BC2C05" w:rsidP="00BC2C05">
      <w:pPr>
        <w:pStyle w:val="Textoindependiente"/>
        <w:spacing w:line="355" w:lineRule="auto"/>
        <w:rPr>
          <w:lang w:val="es-MX"/>
        </w:rPr>
      </w:pPr>
    </w:p>
    <w:p w14:paraId="121632F5" w14:textId="77777777" w:rsidR="00BC2C05" w:rsidRDefault="00BC2C05" w:rsidP="00BC2C05">
      <w:pPr>
        <w:pStyle w:val="Textoindependiente"/>
        <w:spacing w:line="355" w:lineRule="auto"/>
        <w:rPr>
          <w:lang w:val="es-MX"/>
        </w:rPr>
      </w:pPr>
    </w:p>
    <w:p w14:paraId="4620A6F5" w14:textId="77777777" w:rsidR="00BC2C05" w:rsidRDefault="00BC2C05" w:rsidP="00BC2C05">
      <w:pPr>
        <w:pStyle w:val="Textoindependiente"/>
        <w:spacing w:line="355" w:lineRule="auto"/>
        <w:rPr>
          <w:lang w:val="es-MX"/>
        </w:rPr>
      </w:pPr>
    </w:p>
    <w:p w14:paraId="39F198A5" w14:textId="77777777" w:rsidR="00BC2C05" w:rsidRDefault="00BC2C05" w:rsidP="00BC2C05">
      <w:pPr>
        <w:pStyle w:val="Textoindependiente"/>
        <w:spacing w:line="355" w:lineRule="auto"/>
        <w:rPr>
          <w:lang w:val="es-MX"/>
        </w:rPr>
      </w:pPr>
    </w:p>
    <w:p w14:paraId="4DB41E89" w14:textId="77777777" w:rsidR="00BC2C05" w:rsidRDefault="00BC2C05" w:rsidP="00BC2C05">
      <w:pPr>
        <w:pStyle w:val="Textoindependiente"/>
        <w:spacing w:line="355" w:lineRule="auto"/>
        <w:rPr>
          <w:lang w:val="es-MX"/>
        </w:rPr>
      </w:pPr>
    </w:p>
    <w:p w14:paraId="4CB71541" w14:textId="77777777" w:rsidR="00BC2C05" w:rsidRDefault="00BC2C05" w:rsidP="00BC2C05">
      <w:pPr>
        <w:pStyle w:val="Textoindependiente"/>
        <w:spacing w:line="355" w:lineRule="auto"/>
        <w:rPr>
          <w:lang w:val="es-MX"/>
        </w:rPr>
      </w:pPr>
    </w:p>
    <w:p w14:paraId="5C31A081" w14:textId="77777777" w:rsidR="00BC2C05" w:rsidRDefault="00BC2C05" w:rsidP="00BC2C05">
      <w:pPr>
        <w:pStyle w:val="Textoindependiente"/>
        <w:spacing w:line="355" w:lineRule="auto"/>
        <w:rPr>
          <w:lang w:val="es-MX"/>
        </w:rPr>
      </w:pPr>
    </w:p>
    <w:p w14:paraId="23C5D56D" w14:textId="77777777" w:rsidR="00BC2C05" w:rsidRDefault="00BC2C05" w:rsidP="00BC2C05">
      <w:pPr>
        <w:pStyle w:val="Textoindependiente"/>
        <w:spacing w:line="355" w:lineRule="auto"/>
        <w:rPr>
          <w:lang w:val="es-MX"/>
        </w:rPr>
      </w:pPr>
    </w:p>
    <w:p w14:paraId="45695033" w14:textId="77777777" w:rsidR="00BC2C05" w:rsidRPr="00BC2C05" w:rsidRDefault="00BC2C05" w:rsidP="00BC2C05">
      <w:pPr>
        <w:pStyle w:val="Textoindependiente"/>
        <w:spacing w:line="355" w:lineRule="auto"/>
        <w:rPr>
          <w:lang w:val="es-MX"/>
        </w:rPr>
        <w:sectPr w:rsidR="00BC2C05" w:rsidRPr="00BC2C05" w:rsidSect="00BC2C05">
          <w:type w:val="continuous"/>
          <w:pgSz w:w="12240" w:h="15840"/>
          <w:pgMar w:top="1360" w:right="1440" w:bottom="1200" w:left="1440" w:header="751" w:footer="1000" w:gutter="0"/>
          <w:cols w:space="720"/>
        </w:sectPr>
      </w:pPr>
    </w:p>
    <w:p w14:paraId="74369C4D" w14:textId="77777777" w:rsidR="00BC2C05" w:rsidRDefault="00BC2C05" w:rsidP="00BC2C05">
      <w:pPr>
        <w:spacing w:before="95" w:line="348" w:lineRule="auto"/>
        <w:ind w:left="262" w:right="182"/>
        <w:rPr>
          <w:sz w:val="24"/>
        </w:rPr>
      </w:pPr>
      <w:r>
        <w:rPr>
          <w:sz w:val="24"/>
        </w:rPr>
        <w:lastRenderedPageBreak/>
        <w:t xml:space="preserve">Cree una nota en </w:t>
      </w:r>
      <w:hyperlink r:id="rId7">
        <w:proofErr w:type="spellStart"/>
        <w:r>
          <w:rPr>
            <w:rFonts w:ascii="Trebuchet MS"/>
            <w:b/>
            <w:color w:val="0462C1"/>
            <w:sz w:val="24"/>
            <w:u w:val="single" w:color="0462C1"/>
          </w:rPr>
          <w:t>Obsidian</w:t>
        </w:r>
        <w:proofErr w:type="spellEnd"/>
      </w:hyperlink>
      <w:r>
        <w:rPr>
          <w:rFonts w:ascii="Trebuchet MS"/>
          <w:b/>
          <w:color w:val="0462C1"/>
          <w:spacing w:val="-4"/>
          <w:sz w:val="24"/>
        </w:rPr>
        <w:t xml:space="preserve"> </w:t>
      </w:r>
      <w:r>
        <w:rPr>
          <w:sz w:val="24"/>
        </w:rPr>
        <w:t xml:space="preserve">utilizando </w:t>
      </w:r>
      <w:proofErr w:type="spellStart"/>
      <w:r>
        <w:rPr>
          <w:rFonts w:ascii="Trebuchet MS"/>
          <w:b/>
          <w:sz w:val="24"/>
        </w:rPr>
        <w:t>Markdown</w:t>
      </w:r>
      <w:proofErr w:type="spellEnd"/>
      <w:r>
        <w:rPr>
          <w:rFonts w:ascii="Trebuchet MS"/>
          <w:b/>
          <w:spacing w:val="-5"/>
          <w:sz w:val="24"/>
        </w:rPr>
        <w:t xml:space="preserve"> </w:t>
      </w:r>
      <w:r>
        <w:rPr>
          <w:sz w:val="24"/>
        </w:rPr>
        <w:t xml:space="preserve">en la que organice de manera clara lo aprendido sobre </w:t>
      </w:r>
      <w:r>
        <w:rPr>
          <w:rFonts w:ascii="Trebuchet MS"/>
          <w:b/>
          <w:sz w:val="24"/>
        </w:rPr>
        <w:t>ISO/IEC 27001 y NIST CSF</w:t>
      </w:r>
      <w:r>
        <w:rPr>
          <w:sz w:val="24"/>
        </w:rPr>
        <w:t>.</w:t>
      </w:r>
    </w:p>
    <w:p w14:paraId="6E1725C3" w14:textId="77777777" w:rsidR="00BC2C05" w:rsidRDefault="00BC2C05" w:rsidP="00BC2C05">
      <w:pPr>
        <w:pStyle w:val="Textoindependiente"/>
        <w:spacing w:before="163"/>
        <w:ind w:left="262"/>
      </w:pPr>
      <w:r>
        <w:t>Su</w:t>
      </w:r>
      <w:r>
        <w:rPr>
          <w:spacing w:val="-1"/>
        </w:rPr>
        <w:t xml:space="preserve"> </w:t>
      </w:r>
      <w:r>
        <w:t xml:space="preserve">nota debe </w:t>
      </w:r>
      <w:r>
        <w:rPr>
          <w:spacing w:val="-2"/>
        </w:rPr>
        <w:t>incluir:</w:t>
      </w:r>
    </w:p>
    <w:p w14:paraId="0910AA58" w14:textId="77777777" w:rsidR="00BC2C05" w:rsidRDefault="00BC2C05" w:rsidP="00BC2C05">
      <w:pPr>
        <w:pStyle w:val="Textoindependiente"/>
        <w:spacing w:before="17"/>
        <w:ind w:left="0"/>
      </w:pPr>
    </w:p>
    <w:p w14:paraId="5F63B939" w14:textId="77777777" w:rsidR="00BC2C05" w:rsidRDefault="00BC2C05" w:rsidP="00BC2C05">
      <w:pPr>
        <w:pStyle w:val="Prrafodelista"/>
        <w:numPr>
          <w:ilvl w:val="1"/>
          <w:numId w:val="1"/>
        </w:numPr>
        <w:tabs>
          <w:tab w:val="left" w:pos="981"/>
        </w:tabs>
        <w:spacing w:before="0"/>
        <w:ind w:left="981"/>
        <w:rPr>
          <w:sz w:val="24"/>
        </w:rPr>
      </w:pP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rFonts w:ascii="Trebuchet MS" w:hAnsi="Trebuchet MS"/>
          <w:b/>
          <w:sz w:val="24"/>
        </w:rPr>
        <w:t>título</w:t>
      </w:r>
      <w:r>
        <w:rPr>
          <w:rFonts w:ascii="Trebuchet MS" w:hAnsi="Trebuchet MS"/>
          <w:b/>
          <w:spacing w:val="-17"/>
          <w:sz w:val="24"/>
        </w:rPr>
        <w:t xml:space="preserve"> </w:t>
      </w:r>
      <w:r>
        <w:rPr>
          <w:rFonts w:ascii="Trebuchet MS" w:hAnsi="Trebuchet MS"/>
          <w:b/>
          <w:sz w:val="24"/>
        </w:rPr>
        <w:t>principal</w:t>
      </w:r>
      <w:r>
        <w:rPr>
          <w:rFonts w:ascii="Trebuchet MS" w:hAnsi="Trebuchet MS"/>
          <w:b/>
          <w:spacing w:val="-15"/>
          <w:sz w:val="24"/>
        </w:rPr>
        <w:t xml:space="preserve"> </w:t>
      </w:r>
      <w:r>
        <w:rPr>
          <w:sz w:val="24"/>
        </w:rPr>
        <w:t>(nivel</w:t>
      </w:r>
      <w:r>
        <w:rPr>
          <w:spacing w:val="-10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#).</w:t>
      </w:r>
    </w:p>
    <w:p w14:paraId="0FC5B5F2" w14:textId="77777777" w:rsidR="00BC2C05" w:rsidRDefault="00BC2C05" w:rsidP="00BC2C05">
      <w:pPr>
        <w:pStyle w:val="Textoindependiente"/>
        <w:spacing w:before="1"/>
        <w:ind w:left="0"/>
      </w:pPr>
    </w:p>
    <w:p w14:paraId="2EE1D085" w14:textId="77777777" w:rsidR="00BC2C05" w:rsidRDefault="00BC2C05" w:rsidP="00BC2C05">
      <w:pPr>
        <w:pStyle w:val="Prrafodelista"/>
        <w:numPr>
          <w:ilvl w:val="1"/>
          <w:numId w:val="1"/>
        </w:numPr>
        <w:tabs>
          <w:tab w:val="left" w:pos="981"/>
        </w:tabs>
        <w:spacing w:line="333" w:lineRule="auto"/>
        <w:ind w:left="981" w:right="1365"/>
        <w:rPr>
          <w:sz w:val="24"/>
        </w:rPr>
      </w:pPr>
      <w:r>
        <w:rPr>
          <w:spacing w:val="-4"/>
          <w:sz w:val="24"/>
        </w:rPr>
        <w:t>Subtítulos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(nivel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##)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para:</w:t>
      </w:r>
      <w:r>
        <w:rPr>
          <w:spacing w:val="-9"/>
          <w:sz w:val="24"/>
        </w:rPr>
        <w:t xml:space="preserve"> </w:t>
      </w:r>
      <w:r>
        <w:rPr>
          <w:rFonts w:ascii="Trebuchet MS" w:hAnsi="Trebuchet MS"/>
          <w:i/>
          <w:spacing w:val="-4"/>
          <w:sz w:val="25"/>
        </w:rPr>
        <w:t>Definiciones,</w:t>
      </w:r>
      <w:r>
        <w:rPr>
          <w:rFonts w:ascii="Trebuchet MS" w:hAnsi="Trebuchet MS"/>
          <w:i/>
          <w:spacing w:val="-15"/>
          <w:sz w:val="25"/>
        </w:rPr>
        <w:t xml:space="preserve"> </w:t>
      </w:r>
      <w:r>
        <w:rPr>
          <w:rFonts w:ascii="Trebuchet MS" w:hAnsi="Trebuchet MS"/>
          <w:i/>
          <w:spacing w:val="-4"/>
          <w:sz w:val="25"/>
        </w:rPr>
        <w:t>Similitudes,</w:t>
      </w:r>
      <w:r>
        <w:rPr>
          <w:rFonts w:ascii="Trebuchet MS" w:hAnsi="Trebuchet MS"/>
          <w:i/>
          <w:spacing w:val="-15"/>
          <w:sz w:val="25"/>
        </w:rPr>
        <w:t xml:space="preserve"> </w:t>
      </w:r>
      <w:r>
        <w:rPr>
          <w:rFonts w:ascii="Trebuchet MS" w:hAnsi="Trebuchet MS"/>
          <w:i/>
          <w:spacing w:val="-4"/>
          <w:sz w:val="25"/>
        </w:rPr>
        <w:t xml:space="preserve">Diferencias, </w:t>
      </w:r>
      <w:r>
        <w:rPr>
          <w:rFonts w:ascii="Trebuchet MS" w:hAnsi="Trebuchet MS"/>
          <w:i/>
          <w:spacing w:val="-2"/>
          <w:sz w:val="25"/>
        </w:rPr>
        <w:t>Normativa</w:t>
      </w:r>
      <w:r>
        <w:rPr>
          <w:rFonts w:ascii="Trebuchet MS" w:hAnsi="Trebuchet MS"/>
          <w:i/>
          <w:spacing w:val="-17"/>
          <w:sz w:val="25"/>
        </w:rPr>
        <w:t xml:space="preserve"> </w:t>
      </w:r>
      <w:r>
        <w:rPr>
          <w:rFonts w:ascii="Trebuchet MS" w:hAnsi="Trebuchet MS"/>
          <w:i/>
          <w:spacing w:val="-2"/>
          <w:sz w:val="25"/>
        </w:rPr>
        <w:t>Colombiana,</w:t>
      </w:r>
      <w:r>
        <w:rPr>
          <w:rFonts w:ascii="Trebuchet MS" w:hAnsi="Trebuchet MS"/>
          <w:i/>
          <w:spacing w:val="-17"/>
          <w:sz w:val="25"/>
        </w:rPr>
        <w:t xml:space="preserve"> </w:t>
      </w:r>
      <w:r>
        <w:rPr>
          <w:rFonts w:ascii="Trebuchet MS" w:hAnsi="Trebuchet MS"/>
          <w:i/>
          <w:spacing w:val="-2"/>
          <w:sz w:val="25"/>
        </w:rPr>
        <w:t>Ejemplo</w:t>
      </w:r>
      <w:r>
        <w:rPr>
          <w:rFonts w:ascii="Trebuchet MS" w:hAnsi="Trebuchet MS"/>
          <w:i/>
          <w:spacing w:val="-17"/>
          <w:sz w:val="25"/>
        </w:rPr>
        <w:t xml:space="preserve"> </w:t>
      </w:r>
      <w:r>
        <w:rPr>
          <w:rFonts w:ascii="Trebuchet MS" w:hAnsi="Trebuchet MS"/>
          <w:i/>
          <w:spacing w:val="-2"/>
          <w:sz w:val="25"/>
        </w:rPr>
        <w:t>de</w:t>
      </w:r>
      <w:r>
        <w:rPr>
          <w:rFonts w:ascii="Trebuchet MS" w:hAnsi="Trebuchet MS"/>
          <w:i/>
          <w:spacing w:val="-17"/>
          <w:sz w:val="25"/>
        </w:rPr>
        <w:t xml:space="preserve"> </w:t>
      </w:r>
      <w:r>
        <w:rPr>
          <w:rFonts w:ascii="Trebuchet MS" w:hAnsi="Trebuchet MS"/>
          <w:i/>
          <w:spacing w:val="-2"/>
          <w:sz w:val="25"/>
        </w:rPr>
        <w:t>Aplicación</w:t>
      </w:r>
      <w:r>
        <w:rPr>
          <w:spacing w:val="-2"/>
          <w:sz w:val="24"/>
        </w:rPr>
        <w:t>.</w:t>
      </w:r>
    </w:p>
    <w:p w14:paraId="28093C5C" w14:textId="77777777" w:rsidR="00BC2C05" w:rsidRDefault="00BC2C05" w:rsidP="00BC2C05">
      <w:pPr>
        <w:pStyle w:val="Prrafodelista"/>
        <w:numPr>
          <w:ilvl w:val="1"/>
          <w:numId w:val="1"/>
        </w:numPr>
        <w:tabs>
          <w:tab w:val="left" w:pos="981"/>
        </w:tabs>
        <w:spacing w:before="169" w:line="350" w:lineRule="auto"/>
        <w:ind w:left="981" w:right="669"/>
        <w:rPr>
          <w:sz w:val="24"/>
        </w:rPr>
      </w:pPr>
      <w:r>
        <w:rPr>
          <w:sz w:val="24"/>
        </w:rPr>
        <w:t xml:space="preserve">Una </w:t>
      </w:r>
      <w:r>
        <w:rPr>
          <w:rFonts w:ascii="Trebuchet MS" w:hAnsi="Trebuchet MS"/>
          <w:b/>
          <w:sz w:val="24"/>
        </w:rPr>
        <w:t>lista</w:t>
      </w:r>
      <w:r>
        <w:rPr>
          <w:rFonts w:ascii="Trebuchet MS" w:hAnsi="Trebuchet MS"/>
          <w:b/>
          <w:spacing w:val="-8"/>
          <w:sz w:val="24"/>
        </w:rPr>
        <w:t xml:space="preserve"> </w:t>
      </w:r>
      <w:r>
        <w:rPr>
          <w:rFonts w:ascii="Trebuchet MS" w:hAnsi="Trebuchet MS"/>
          <w:b/>
          <w:sz w:val="24"/>
        </w:rPr>
        <w:t>con</w:t>
      </w:r>
      <w:r>
        <w:rPr>
          <w:rFonts w:ascii="Trebuchet MS" w:hAnsi="Trebuchet MS"/>
          <w:b/>
          <w:spacing w:val="-9"/>
          <w:sz w:val="24"/>
        </w:rPr>
        <w:t xml:space="preserve"> </w:t>
      </w:r>
      <w:r>
        <w:rPr>
          <w:rFonts w:ascii="Trebuchet MS" w:hAnsi="Trebuchet MS"/>
          <w:b/>
          <w:sz w:val="24"/>
        </w:rPr>
        <w:t>viñetas</w:t>
      </w:r>
      <w:r>
        <w:rPr>
          <w:rFonts w:ascii="Trebuchet MS" w:hAnsi="Trebuchet MS"/>
          <w:b/>
          <w:spacing w:val="-6"/>
          <w:sz w:val="24"/>
        </w:rPr>
        <w:t xml:space="preserve"> </w:t>
      </w:r>
      <w:r>
        <w:rPr>
          <w:sz w:val="24"/>
        </w:rPr>
        <w:t>que resuma al</w:t>
      </w:r>
      <w:r>
        <w:rPr>
          <w:spacing w:val="-1"/>
          <w:sz w:val="24"/>
        </w:rPr>
        <w:t xml:space="preserve"> </w:t>
      </w:r>
      <w:r>
        <w:rPr>
          <w:sz w:val="24"/>
        </w:rPr>
        <w:t>menos 3 similitudes y</w:t>
      </w:r>
      <w:r>
        <w:rPr>
          <w:spacing w:val="-1"/>
          <w:sz w:val="24"/>
        </w:rPr>
        <w:t xml:space="preserve"> </w:t>
      </w:r>
      <w:r>
        <w:rPr>
          <w:sz w:val="24"/>
        </w:rPr>
        <w:t>3 diferencias entre ISO/IEC</w:t>
      </w:r>
      <w:r>
        <w:rPr>
          <w:spacing w:val="-1"/>
          <w:sz w:val="24"/>
        </w:rPr>
        <w:t xml:space="preserve"> </w:t>
      </w:r>
      <w:r>
        <w:rPr>
          <w:sz w:val="24"/>
        </w:rPr>
        <w:t>27001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NIST CSF.</w:t>
      </w:r>
    </w:p>
    <w:p w14:paraId="055D5830" w14:textId="77777777" w:rsidR="00BC2C05" w:rsidRDefault="00BC2C05" w:rsidP="00BC2C05">
      <w:pPr>
        <w:pStyle w:val="Prrafodelista"/>
        <w:numPr>
          <w:ilvl w:val="1"/>
          <w:numId w:val="1"/>
        </w:numPr>
        <w:tabs>
          <w:tab w:val="left" w:pos="981"/>
        </w:tabs>
        <w:spacing w:before="162" w:line="350" w:lineRule="auto"/>
        <w:ind w:left="981" w:right="368"/>
        <w:rPr>
          <w:sz w:val="24"/>
        </w:rPr>
      </w:pPr>
      <w:r>
        <w:rPr>
          <w:sz w:val="24"/>
        </w:rPr>
        <w:t xml:space="preserve">Un </w:t>
      </w:r>
      <w:r>
        <w:rPr>
          <w:rFonts w:ascii="Trebuchet MS" w:hAnsi="Trebuchet MS"/>
          <w:b/>
          <w:sz w:val="24"/>
        </w:rPr>
        <w:t xml:space="preserve">enlace interno </w:t>
      </w:r>
      <w:r>
        <w:rPr>
          <w:sz w:val="24"/>
        </w:rPr>
        <w:t xml:space="preserve">(propio de </w:t>
      </w:r>
      <w:proofErr w:type="spellStart"/>
      <w:r>
        <w:rPr>
          <w:sz w:val="24"/>
        </w:rPr>
        <w:t>Obsidian</w:t>
      </w:r>
      <w:proofErr w:type="spellEnd"/>
      <w:r>
        <w:rPr>
          <w:sz w:val="24"/>
        </w:rPr>
        <w:t>, con [</w:t>
      </w:r>
      <w:proofErr w:type="gramStart"/>
      <w:r>
        <w:rPr>
          <w:sz w:val="24"/>
        </w:rPr>
        <w:t>[ ]</w:t>
      </w:r>
      <w:proofErr w:type="gramEnd"/>
      <w:r>
        <w:rPr>
          <w:sz w:val="24"/>
        </w:rPr>
        <w:t xml:space="preserve">]) hacia otra nota suya (por </w:t>
      </w:r>
      <w:r>
        <w:rPr>
          <w:w w:val="105"/>
          <w:sz w:val="24"/>
        </w:rPr>
        <w:t>ejemplo,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[[Glosario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Términos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Seguridad]]).</w:t>
      </w:r>
    </w:p>
    <w:p w14:paraId="690CD6D8" w14:textId="77777777" w:rsidR="00BC2C05" w:rsidRDefault="00BC2C05" w:rsidP="00BC2C05">
      <w:pPr>
        <w:pStyle w:val="Prrafodelista"/>
        <w:numPr>
          <w:ilvl w:val="1"/>
          <w:numId w:val="1"/>
        </w:numPr>
        <w:tabs>
          <w:tab w:val="left" w:pos="981"/>
        </w:tabs>
        <w:spacing w:before="164" w:line="350" w:lineRule="auto"/>
        <w:ind w:left="981" w:right="493"/>
        <w:rPr>
          <w:sz w:val="24"/>
        </w:rPr>
      </w:pPr>
      <w:r>
        <w:rPr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rFonts w:ascii="Trebuchet MS" w:hAnsi="Trebuchet MS"/>
          <w:b/>
          <w:sz w:val="24"/>
        </w:rPr>
        <w:t>tabla</w:t>
      </w:r>
      <w:r>
        <w:rPr>
          <w:rFonts w:ascii="Trebuchet MS" w:hAnsi="Trebuchet MS"/>
          <w:b/>
          <w:spacing w:val="-19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Markdown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compare</w:t>
      </w:r>
      <w:r>
        <w:rPr>
          <w:spacing w:val="-10"/>
          <w:sz w:val="24"/>
        </w:rPr>
        <w:t xml:space="preserve"> </w:t>
      </w:r>
      <w:r>
        <w:rPr>
          <w:sz w:val="24"/>
        </w:rPr>
        <w:t>brevemente</w:t>
      </w:r>
      <w:r>
        <w:rPr>
          <w:spacing w:val="-10"/>
          <w:sz w:val="24"/>
        </w:rPr>
        <w:t xml:space="preserve"> </w:t>
      </w:r>
      <w:r>
        <w:rPr>
          <w:sz w:val="24"/>
        </w:rPr>
        <w:t>ISO/IEC</w:t>
      </w:r>
      <w:r>
        <w:rPr>
          <w:spacing w:val="-11"/>
          <w:sz w:val="24"/>
        </w:rPr>
        <w:t xml:space="preserve"> </w:t>
      </w:r>
      <w:r>
        <w:rPr>
          <w:sz w:val="24"/>
        </w:rPr>
        <w:t>27001</w:t>
      </w:r>
      <w:r>
        <w:rPr>
          <w:spacing w:val="-11"/>
          <w:sz w:val="24"/>
        </w:rPr>
        <w:t xml:space="preserve"> </w:t>
      </w:r>
      <w:r>
        <w:rPr>
          <w:sz w:val="24"/>
        </w:rPr>
        <w:t>vs</w:t>
      </w:r>
      <w:r>
        <w:rPr>
          <w:spacing w:val="-11"/>
          <w:sz w:val="24"/>
        </w:rPr>
        <w:t xml:space="preserve"> </w:t>
      </w:r>
      <w:r>
        <w:rPr>
          <w:sz w:val="24"/>
        </w:rPr>
        <w:t>NIST CSF (mínimo 2 filas, 2 columnas).</w:t>
      </w:r>
    </w:p>
    <w:p w14:paraId="4A26C999" w14:textId="2C9AF928" w:rsidR="00BC2C05" w:rsidRPr="00BC2C05" w:rsidRDefault="00BC2C05" w:rsidP="00BC2C05">
      <w:pPr>
        <w:pStyle w:val="Textoindependiente"/>
        <w:spacing w:line="355" w:lineRule="auto"/>
        <w:ind w:left="621"/>
        <w:rPr>
          <w:lang w:val="es-MX"/>
        </w:rPr>
        <w:sectPr w:rsidR="00BC2C05" w:rsidRPr="00BC2C05">
          <w:headerReference w:type="default" r:id="rId8"/>
          <w:footerReference w:type="default" r:id="rId9"/>
          <w:type w:val="continuous"/>
          <w:pgSz w:w="12240" w:h="15840"/>
          <w:pgMar w:top="1360" w:right="1440" w:bottom="1200" w:left="1440" w:header="751" w:footer="1000" w:gutter="0"/>
          <w:pgNumType w:start="1"/>
          <w:cols w:space="720"/>
        </w:sectPr>
      </w:pPr>
    </w:p>
    <w:p w14:paraId="43F65887" w14:textId="77777777" w:rsidR="00BC2C05" w:rsidRPr="00BC2C05" w:rsidRDefault="00BC2C05" w:rsidP="00BC2C05">
      <w:pPr>
        <w:tabs>
          <w:tab w:val="left" w:pos="981"/>
        </w:tabs>
        <w:spacing w:before="164" w:line="350" w:lineRule="auto"/>
        <w:ind w:right="493"/>
        <w:rPr>
          <w:sz w:val="24"/>
        </w:rPr>
      </w:pPr>
    </w:p>
    <w:sectPr w:rsidR="00BC2C05" w:rsidRPr="00BC2C05">
      <w:pgSz w:w="12240" w:h="15840"/>
      <w:pgMar w:top="1360" w:right="1440" w:bottom="1200" w:left="1440" w:header="751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1D964" w14:textId="77777777" w:rsidR="00394E77" w:rsidRDefault="00394E77">
      <w:r>
        <w:separator/>
      </w:r>
    </w:p>
  </w:endnote>
  <w:endnote w:type="continuationSeparator" w:id="0">
    <w:p w14:paraId="5AE3B453" w14:textId="77777777" w:rsidR="00394E77" w:rsidRDefault="00394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5F538" w14:textId="77777777" w:rsidR="00F16DDF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A7292CE" wp14:editId="687699C3">
              <wp:simplePos x="0" y="0"/>
              <wp:positionH relativeFrom="page">
                <wp:posOffset>3561715</wp:posOffset>
              </wp:positionH>
              <wp:positionV relativeFrom="page">
                <wp:posOffset>9283395</wp:posOffset>
              </wp:positionV>
              <wp:extent cx="65024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02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6A2245" w14:textId="77777777" w:rsidR="00F16DDF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</w:rPr>
                            <w:t>Page</w:t>
                          </w:r>
                          <w:r>
                            <w:rPr>
                              <w:rFonts w:ascii="Calibri"/>
                              <w:color w:val="4471C4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4471C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4471C4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color w:val="4471C4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4471C4"/>
                            </w:rPr>
                            <w:t>of</w:t>
                          </w:r>
                          <w:proofErr w:type="spellEnd"/>
                          <w:r>
                            <w:rPr>
                              <w:rFonts w:ascii="Calibri"/>
                              <w:color w:val="4471C4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7292C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80.45pt;margin-top:731pt;width:51.2pt;height:13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" filled="f" stroked="f">
              <v:textbox inset="0,0,0,0">
                <w:txbxContent>
                  <w:p w14:paraId="306A2245" w14:textId="77777777" w:rsidR="00F16DDF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</w:rPr>
                      <w:t>Page</w:t>
                    </w:r>
                    <w:r>
                      <w:rPr>
                        <w:rFonts w:ascii="Calibri"/>
                        <w:color w:val="4471C4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4471C4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</w:rPr>
                      <w:fldChar w:fldCharType="separate"/>
                    </w:r>
                    <w:r>
                      <w:rPr>
                        <w:rFonts w:ascii="Calibri"/>
                        <w:color w:val="4471C4"/>
                      </w:rPr>
                      <w:t>1</w:t>
                    </w:r>
                    <w:r>
                      <w:rPr>
                        <w:rFonts w:ascii="Calibri"/>
                        <w:color w:val="4471C4"/>
                      </w:rPr>
                      <w:fldChar w:fldCharType="end"/>
                    </w:r>
                    <w:r>
                      <w:rPr>
                        <w:rFonts w:ascii="Calibri"/>
                        <w:color w:val="4471C4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4471C4"/>
                      </w:rPr>
                      <w:t>of</w:t>
                    </w:r>
                    <w:proofErr w:type="spellEnd"/>
                    <w:r>
                      <w:rPr>
                        <w:rFonts w:ascii="Calibri"/>
                        <w:color w:val="4471C4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t>3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67423" w14:textId="77777777" w:rsidR="00394E77" w:rsidRDefault="00394E77">
      <w:r>
        <w:separator/>
      </w:r>
    </w:p>
  </w:footnote>
  <w:footnote w:type="continuationSeparator" w:id="0">
    <w:p w14:paraId="5DFB0373" w14:textId="77777777" w:rsidR="00394E77" w:rsidRDefault="00394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9331B" w14:textId="77777777" w:rsidR="00F16DDF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09BEAF90" wp14:editId="7361CFEC">
              <wp:simplePos x="0" y="0"/>
              <wp:positionH relativeFrom="page">
                <wp:posOffset>1068120</wp:posOffset>
              </wp:positionH>
              <wp:positionV relativeFrom="page">
                <wp:posOffset>464312</wp:posOffset>
              </wp:positionV>
              <wp:extent cx="130746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74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F5BF22" w14:textId="77777777" w:rsidR="00F16DDF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t>Seguridad</w:t>
                          </w:r>
                          <w:r>
                            <w:rPr>
                              <w:rFonts w:ascii="Calibri" w:hAnsi="Calibri"/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>Informática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BEAF9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1pt;margin-top:36.55pt;width:102.9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" filled="f" stroked="f">
              <v:textbox inset="0,0,0,0">
                <w:txbxContent>
                  <w:p w14:paraId="28F5BF22" w14:textId="77777777" w:rsidR="00F16DDF" w:rsidRDefault="00000000">
                    <w:pPr>
                      <w:spacing w:line="245" w:lineRule="exact"/>
                      <w:ind w:left="20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</w:rPr>
                      <w:t>Seguridad</w:t>
                    </w:r>
                    <w:r>
                      <w:rPr>
                        <w:rFonts w:ascii="Calibri" w:hAnsi="Calibri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pacing w:val="-2"/>
                      </w:rPr>
                      <w:t>Informática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57B92"/>
    <w:multiLevelType w:val="hybridMultilevel"/>
    <w:tmpl w:val="EB34CB70"/>
    <w:lvl w:ilvl="0" w:tplc="376A3B0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BEC3B0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E4C01AD8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2CE6D3A0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455C6D9C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9C281F32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1B82B258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77487C02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B7A6CC80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B5A5F0D"/>
    <w:multiLevelType w:val="multilevel"/>
    <w:tmpl w:val="7E8420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72272279"/>
    <w:multiLevelType w:val="multilevel"/>
    <w:tmpl w:val="7A68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11130"/>
    <w:multiLevelType w:val="hybridMultilevel"/>
    <w:tmpl w:val="900ED732"/>
    <w:lvl w:ilvl="0" w:tplc="10A6281E">
      <w:start w:val="1"/>
      <w:numFmt w:val="decimal"/>
      <w:lvlText w:val="%1."/>
      <w:lvlJc w:val="left"/>
      <w:pPr>
        <w:ind w:left="98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86"/>
        <w:sz w:val="24"/>
        <w:szCs w:val="24"/>
        <w:lang w:val="es-ES" w:eastAsia="en-US" w:bidi="ar-SA"/>
      </w:rPr>
    </w:lvl>
    <w:lvl w:ilvl="1" w:tplc="78D87326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D740737A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84320284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C82E1D1E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814815F8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22FC6EB4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8182C1C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A96064FE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1031227054">
    <w:abstractNumId w:val="3"/>
  </w:num>
  <w:num w:numId="2" w16cid:durableId="813564489">
    <w:abstractNumId w:val="0"/>
  </w:num>
  <w:num w:numId="3" w16cid:durableId="1122960926">
    <w:abstractNumId w:val="1"/>
  </w:num>
  <w:num w:numId="4" w16cid:durableId="1964341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6DDF"/>
    <w:rsid w:val="00394E77"/>
    <w:rsid w:val="00727949"/>
    <w:rsid w:val="00BB2F90"/>
    <w:rsid w:val="00BC2C05"/>
    <w:rsid w:val="00C66001"/>
    <w:rsid w:val="00F1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18BC"/>
  <w15:docId w15:val="{39E34FA7-77D4-48F3-8E49-EF36A8E9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spacing w:before="159"/>
      <w:ind w:left="980" w:hanging="359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8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5"/>
      <w:ind w:left="1"/>
      <w:jc w:val="center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"/>
      <w:ind w:left="9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bsidian.m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1227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José Gabriel Lira Castelán</cp:lastModifiedBy>
  <cp:revision>3</cp:revision>
  <dcterms:created xsi:type="dcterms:W3CDTF">2025-10-06T22:05:00Z</dcterms:created>
  <dcterms:modified xsi:type="dcterms:W3CDTF">2025-10-07T00:04:00Z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  <property fmtid="{D5CDD505-2E9C-101B-9397-08002B2CF9AE}" pid="5" name="Producer">
    <vt:lpwstr>Microsoft® Word 2016</vt:lpwstr>
  </property>
</Properties>
</file>