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424752"/>
          <w:sz w:val="24"/>
          <w:szCs w:val="24"/>
        </w:rPr>
        <w:t xml:space="preserve">UNIVERSIDAD POLITÉCNICA DE TULANCINGO</w:t>
      </w:r>
    </w:p>
    <w:p>
      <w:pPr>
        <w:spacing w:after="600" w:before="100"/>
        <w:jc w:val="center"/>
      </w:pPr>
      <w:r>
        <w:rPr>
          <w:rFonts w:ascii="Arial" w:cs="Arial" w:eastAsia="Arial" w:hAnsi="Arial"/>
          <w:color w:val="727784"/>
          <w:sz w:val="22"/>
          <w:szCs w:val="22"/>
        </w:rPr>
        <w:t xml:space="preserve">Ingeniería en Sistemas Computacionales</w:t>
      </w:r>
    </w:p>
    <w:p>
      <w:pPr>
        <w:spacing w:after="200" w:before="200"/>
        <w:jc w:val="center"/>
      </w:pPr>
      <w:r>
        <w:rPr>
          <w:rFonts w:ascii="Arial" w:cs="Arial" w:eastAsia="Arial" w:hAnsi="Arial"/>
          <w:b/>
          <w:bCs/>
          <w:color w:val="003f87"/>
          <w:sz w:val="72"/>
          <w:szCs w:val="72"/>
        </w:rPr>
        <w:t xml:space="preserve">UniShare</w:t>
      </w:r>
    </w:p>
    <w:p>
      <w:pPr>
        <w:spacing w:after="400" w:before="100"/>
        <w:jc w:val="center"/>
      </w:pPr>
      <w:r>
        <w:rPr>
          <w:rFonts w:ascii="Arial" w:cs="Arial" w:eastAsia="Arial" w:hAnsi="Arial"/>
          <w:color w:val="424752"/>
          <w:sz w:val="32"/>
          <w:szCs w:val="32"/>
        </w:rPr>
        <w:t xml:space="preserve">Documento Técnico de Arquitectura</w:t>
      </w:r>
    </w:p>
    <w:p>
      <w:pPr>
        <w:pBdr>
          <w:bottom w:val="single" w:color="003f87" w:sz="4" w:space="4"/>
        </w:pBdr>
        <w:spacing w:after="100" w:before="100"/>
        <w:jc w:val="center"/>
      </w:pPr>
      <w:r>
        <w:rPr>
          <w:rFonts w:ascii="Arial" w:cs="Arial" w:eastAsia="Arial" w:hAnsi="Arial"/>
          <w:i/>
          <w:iCs/>
          <w:color w:val="727784"/>
          <w:sz w:val="22"/>
          <w:szCs w:val="22"/>
        </w:rPr>
        <w:t xml:space="preserve">Plataforma web universitaria para compartir material académico</w:t>
      </w:r>
    </w:p>
    <w:p>
      <w:pPr>
        <w:spacing w:after="100" w:before="100"/>
      </w:pPr>
      <w:r>
        <w:t xml:space="preserve"/>
      </w:r>
    </w:p>
    <w:p>
      <w:pPr>
        <w:spacing w:after="100" w:before="100"/>
      </w:pPr>
      <w:r>
        <w:t xml:space="preserve"/>
      </w:r>
    </w:p>
    <w:p>
      <w:pPr>
        <w:spacing w:after="60" w:before="200"/>
        <w:jc w:val="center"/>
      </w:pPr>
      <w:r>
        <w:rPr>
          <w:rFonts w:ascii="Arial" w:cs="Arial" w:eastAsia="Arial" w:hAnsi="Arial"/>
          <w:color w:val="727784"/>
          <w:sz w:val="20"/>
          <w:szCs w:val="20"/>
        </w:rPr>
        <w:t xml:space="preserve">Versión 1.0.0  —  Abril 2026</w:t>
      </w:r>
    </w:p>
    <w:p>
      <w:pPr>
        <w:spacing w:after="60" w:before="60"/>
        <w:jc w:val="center"/>
      </w:pPr>
      <w:r>
        <w:rPr>
          <w:rFonts w:ascii="Arial" w:cs="Arial" w:eastAsia="Arial" w:hAnsi="Arial"/>
          <w:color w:val="727784"/>
          <w:sz w:val="20"/>
          <w:szCs w:val="20"/>
        </w:rPr>
        <w:t xml:space="preserve">Open Source — Licencia MIT</w:t>
      </w:r>
    </w:p>
    <w:p>
      <w:pPr>
        <w:spacing w:after="60" w:before="60"/>
        <w:jc w:val="center"/>
      </w:pPr>
      <w:r>
        <w:rPr>
          <w:rFonts w:ascii="Arial" w:cs="Arial" w:eastAsia="Arial" w:hAnsi="Arial"/>
          <w:color w:val="003f87"/>
          <w:sz w:val="20"/>
          <w:szCs w:val="20"/>
        </w:rPr>
        <w:t xml:space="preserve">https://github.com/gabolirca/Uni-Share</w:t>
      </w:r>
    </w:p>
    <w:p>
      <w:r>
        <w:br w:type="page"/>
      </w:r>
    </w:p>
    <w:p>
      <w:pPr>
        <w:pStyle w:val="Heading1"/>
        <w:pBdr>
          <w:bottom w:val="single" w:color="003f87" w:sz="6" w:space="4"/>
        </w:pBdr>
        <w:spacing w:after="200" w:before="400"/>
      </w:pPr>
      <w:r>
        <w:rPr>
          <w:rFonts w:ascii="Arial" w:cs="Arial" w:eastAsia="Arial" w:hAnsi="Arial"/>
          <w:b/>
          <w:bCs/>
          <w:color w:val="003f87"/>
          <w:sz w:val="32"/>
          <w:szCs w:val="32"/>
        </w:rPr>
        <w:t xml:space="preserve">1. Introducción</w:t>
      </w:r>
    </w:p>
    <w:p>
      <w:pPr>
        <w:spacing w:after="100" w:before="100"/>
      </w:pPr>
      <w:r>
        <w:rPr>
          <w:rFonts w:ascii="Arial" w:cs="Arial" w:eastAsia="Arial" w:hAnsi="Arial"/>
          <w:color w:val="191c21"/>
          <w:sz w:val="22"/>
          <w:szCs w:val="22"/>
        </w:rPr>
        <w:t xml:space="preserve">UniShare es una plataforma web universitaria diseñada para facilitar el intercambio de material académico entre estudiantes de distintas generaciones y carreras. El sistema permite subir, consultar, descargar y valorar recursos educativos organizados por materias.</w:t>
      </w:r>
    </w:p>
    <w:p>
      <w:pPr>
        <w:spacing w:after="100" w:before="100"/>
      </w:pPr>
      <w:r>
        <w:t xml:space="preserve"/>
      </w:r>
    </w:p>
    <w:p>
      <w:pPr>
        <w:spacing w:after="100" w:before="100"/>
      </w:pPr>
      <w:r>
        <w:rPr>
          <w:rFonts w:ascii="Arial" w:cs="Arial" w:eastAsia="Arial" w:hAnsi="Arial"/>
          <w:color w:val="191c21"/>
          <w:sz w:val="22"/>
          <w:szCs w:val="22"/>
        </w:rPr>
        <w:t xml:space="preserve">Este documento describe la arquitectura técnica del sistema, incluyendo sus componentes, decisiones de diseño, infraestructura de alta disponibilidad, patrones de comunicación y estrategias de resiliencia implementadas.</w:t>
      </w:r>
    </w:p>
    <w:p>
      <w:pPr>
        <w:spacing w:after="100" w:before="100"/>
      </w:pPr>
      <w:r>
        <w:t xml:space="preserve"/>
      </w:r>
    </w:p>
    <w:p>
      <w:pPr>
        <w:pStyle w:val="Heading2"/>
        <w:spacing w:after="160" w:before="300"/>
      </w:pPr>
      <w:r>
        <w:rPr>
          <w:rFonts w:ascii="Arial" w:cs="Arial" w:eastAsia="Arial" w:hAnsi="Arial"/>
          <w:b/>
          <w:bCs/>
          <w:color w:val="003f87"/>
          <w:sz w:val="26"/>
          <w:szCs w:val="26"/>
        </w:rPr>
        <w:t xml:space="preserve">1.1 Objetivos del Sistema</w:t>
      </w:r>
    </w:p>
    <w:p>
      <w:pPr>
        <w:pStyle w:val="ListParagraph"/>
        <w:numPr>
          <w:ilvl w:val="0"/>
          <w:numId w:val="2"/>
        </w:numPr>
        <w:spacing w:after="60" w:before="60"/>
      </w:pPr>
      <w:r>
        <w:rPr>
          <w:rFonts w:ascii="Arial" w:cs="Arial" w:eastAsia="Arial" w:hAnsi="Arial"/>
          <w:color w:val="191c21"/>
          <w:sz w:val="22"/>
          <w:szCs w:val="22"/>
        </w:rPr>
        <w:t xml:space="preserve">Facilitar el intercambio de material académico entre estudiantes universitarios</w:t>
      </w:r>
    </w:p>
    <w:p>
      <w:pPr>
        <w:pStyle w:val="ListParagraph"/>
        <w:numPr>
          <w:ilvl w:val="0"/>
          <w:numId w:val="2"/>
        </w:numPr>
        <w:spacing w:after="60" w:before="60"/>
      </w:pPr>
      <w:r>
        <w:rPr>
          <w:rFonts w:ascii="Arial" w:cs="Arial" w:eastAsia="Arial" w:hAnsi="Arial"/>
          <w:color w:val="191c21"/>
          <w:sz w:val="22"/>
          <w:szCs w:val="22"/>
        </w:rPr>
        <w:t xml:space="preserve">Implementar una infraestructura resiliente basada en contenedores Docker</w:t>
      </w:r>
    </w:p>
    <w:p>
      <w:pPr>
        <w:pStyle w:val="ListParagraph"/>
        <w:numPr>
          <w:ilvl w:val="0"/>
          <w:numId w:val="2"/>
        </w:numPr>
        <w:spacing w:after="60" w:before="60"/>
      </w:pPr>
      <w:r>
        <w:rPr>
          <w:rFonts w:ascii="Arial" w:cs="Arial" w:eastAsia="Arial" w:hAnsi="Arial"/>
          <w:color w:val="191c21"/>
          <w:sz w:val="22"/>
          <w:szCs w:val="22"/>
        </w:rPr>
        <w:t xml:space="preserve">Garantizar alta disponibilidad mediante balanceo de carga y replicación de base de datos</w:t>
      </w:r>
    </w:p>
    <w:p>
      <w:pPr>
        <w:pStyle w:val="ListParagraph"/>
        <w:numPr>
          <w:ilvl w:val="0"/>
          <w:numId w:val="2"/>
        </w:numPr>
        <w:spacing w:after="60" w:before="60"/>
      </w:pPr>
      <w:r>
        <w:rPr>
          <w:rFonts w:ascii="Arial" w:cs="Arial" w:eastAsia="Arial" w:hAnsi="Arial"/>
          <w:color w:val="191c21"/>
          <w:sz w:val="22"/>
          <w:szCs w:val="22"/>
        </w:rPr>
        <w:t xml:space="preserve">Proveer monitoreo en tiempo real del estado del sistema</w:t>
      </w:r>
    </w:p>
    <w:p>
      <w:pPr>
        <w:pStyle w:val="ListParagraph"/>
        <w:numPr>
          <w:ilvl w:val="0"/>
          <w:numId w:val="2"/>
        </w:numPr>
        <w:spacing w:after="60" w:before="60"/>
      </w:pPr>
      <w:r>
        <w:rPr>
          <w:rFonts w:ascii="Arial" w:cs="Arial" w:eastAsia="Arial" w:hAnsi="Arial"/>
          <w:color w:val="191c21"/>
          <w:sz w:val="22"/>
          <w:szCs w:val="22"/>
        </w:rPr>
        <w:t xml:space="preserve">Validar la resiliencia mediante pruebas de Chaos Engineering</w:t>
      </w:r>
    </w:p>
    <w:p>
      <w:pPr>
        <w:spacing w:after="100" w:before="100"/>
      </w:pPr>
      <w:r>
        <w:t xml:space="preserve"/>
      </w:r>
    </w:p>
    <w:p>
      <w:pPr>
        <w:pStyle w:val="Heading2"/>
        <w:spacing w:after="160" w:before="300"/>
      </w:pPr>
      <w:r>
        <w:rPr>
          <w:rFonts w:ascii="Arial" w:cs="Arial" w:eastAsia="Arial" w:hAnsi="Arial"/>
          <w:b/>
          <w:bCs/>
          <w:color w:val="003f87"/>
          <w:sz w:val="26"/>
          <w:szCs w:val="26"/>
        </w:rPr>
        <w:t xml:space="preserve">1.2 Alcance</w:t>
      </w:r>
    </w:p>
    <w:p>
      <w:pPr>
        <w:spacing w:after="100" w:before="100"/>
      </w:pPr>
      <w:r>
        <w:rPr>
          <w:rFonts w:ascii="Arial" w:cs="Arial" w:eastAsia="Arial" w:hAnsi="Arial"/>
          <w:color w:val="191c21"/>
          <w:sz w:val="22"/>
          <w:szCs w:val="22"/>
        </w:rPr>
        <w:t xml:space="preserve">El sistema abarca el desarrollo de una API REST, una interfaz web, infraestructura de contenedores con alta disponibilidad, replicación de base de datos PostgreSQL, monitoreo con Netdata y acceso externo mediante tunnel ngrok.</w:t>
      </w:r>
    </w:p>
    <w:p>
      <w:r>
        <w:br w:type="page"/>
      </w:r>
    </w:p>
    <w:p>
      <w:pPr>
        <w:pStyle w:val="Heading1"/>
        <w:pBdr>
          <w:bottom w:val="single" w:color="003f87" w:sz="6" w:space="4"/>
        </w:pBdr>
        <w:spacing w:after="200" w:before="400"/>
      </w:pPr>
      <w:r>
        <w:rPr>
          <w:rFonts w:ascii="Arial" w:cs="Arial" w:eastAsia="Arial" w:hAnsi="Arial"/>
          <w:b/>
          <w:bCs/>
          <w:color w:val="003f87"/>
          <w:sz w:val="32"/>
          <w:szCs w:val="32"/>
        </w:rPr>
        <w:t xml:space="preserve">2. Arquitectura General</w:t>
      </w:r>
    </w:p>
    <w:p>
      <w:pPr>
        <w:spacing w:after="100" w:before="100"/>
      </w:pPr>
      <w:r>
        <w:rPr>
          <w:rFonts w:ascii="Arial" w:cs="Arial" w:eastAsia="Arial" w:hAnsi="Arial"/>
          <w:color w:val="191c21"/>
          <w:sz w:val="22"/>
          <w:szCs w:val="22"/>
        </w:rPr>
        <w:t xml:space="preserve">UniShare implementa una arquitectura de microservicios distribuidos basada en contenedores Docker, orquestada con Docker Compose sobre Debian 12. El diseño prioriza la tolerancia a fallos, la escalabilidad horizontal y la separación de responsabilidades.</w:t>
      </w:r>
    </w:p>
    <w:p>
      <w:pPr>
        <w:spacing w:after="100" w:before="100"/>
      </w:pPr>
      <w:r>
        <w:t xml:space="preserve"/>
      </w:r>
    </w:p>
    <w:p>
      <w:pPr>
        <w:pStyle w:val="Heading2"/>
        <w:spacing w:after="160" w:before="300"/>
      </w:pPr>
      <w:r>
        <w:rPr>
          <w:rFonts w:ascii="Arial" w:cs="Arial" w:eastAsia="Arial" w:hAnsi="Arial"/>
          <w:b/>
          <w:bCs/>
          <w:color w:val="003f87"/>
          <w:sz w:val="26"/>
          <w:szCs w:val="26"/>
        </w:rPr>
        <w:t xml:space="preserve">2.1 Diagrama de Arquitectura</w:t>
      </w:r>
    </w:p>
    <w:p>
      <w:pPr>
        <w:spacing w:after="100" w:before="100"/>
      </w:pPr>
      <w:r>
        <w:t xml:space="preserve"/>
      </w:r>
    </w:p>
    <w:p>
      <w:pPr>
        <w:shd w:fill="1E1E1E" w:val="clear"/>
        <w:spacing w:after="100" w:before="100"/>
        <w:ind w:left="360"/>
      </w:pPr>
      <w:r>
        <w:rPr>
          <w:rFonts w:ascii="Courier New" w:cs="Courier New" w:eastAsia="Courier New" w:hAnsi="Courier New"/>
          <w:color w:val="00FF41"/>
          <w:sz w:val="20"/>
          <w:szCs w:val="20"/>
        </w:rPr>
        <w:t xml:space="preserve">  Internet / Usuario</w:t>
      </w:r>
    </w:p>
    <w:p>
      <w:pPr>
        <w:shd w:fill="1E1E1E" w:val="clear"/>
        <w:ind w:left="360"/>
      </w:pPr>
      <w:r>
        <w:rPr>
          <w:rFonts w:ascii="Courier New" w:cs="Courier New" w:eastAsia="Courier New" w:hAnsi="Courier New"/>
          <w:color w:val="00FF41"/>
          <w:sz w:val="20"/>
          <w:szCs w:val="20"/>
        </w:rPr>
        <w:t xml:space="preserve">       │</w:t>
      </w:r>
    </w:p>
    <w:p>
      <w:pPr>
        <w:shd w:fill="1E1E1E" w:val="clear"/>
        <w:ind w:left="360"/>
      </w:pPr>
      <w:r>
        <w:rPr>
          <w:rFonts w:ascii="Courier New" w:cs="Courier New" w:eastAsia="Courier New" w:hAnsi="Courier New"/>
          <w:color w:val="76D6D5"/>
          <w:sz w:val="20"/>
          <w:szCs w:val="20"/>
        </w:rPr>
        <w:t xml:space="preserve">     ngrok (HTTPS)</w:t>
      </w:r>
    </w:p>
    <w:p>
      <w:pPr>
        <w:shd w:fill="1E1E1E" w:val="clear"/>
        <w:ind w:left="360"/>
      </w:pPr>
      <w:r>
        <w:rPr>
          <w:rFonts w:ascii="Courier New" w:cs="Courier New" w:eastAsia="Courier New" w:hAnsi="Courier New"/>
          <w:color w:val="00FF41"/>
          <w:sz w:val="20"/>
          <w:szCs w:val="20"/>
        </w:rPr>
        <w:t xml:space="preserve">       │</w:t>
      </w:r>
    </w:p>
    <w:p>
      <w:pPr>
        <w:shd w:fill="1E1E1E" w:val="clear"/>
        <w:ind w:left="360"/>
      </w:pPr>
      <w:r>
        <w:rPr>
          <w:rFonts w:ascii="Courier New" w:cs="Courier New" w:eastAsia="Courier New" w:hAnsi="Courier New"/>
          <w:color w:val="ACC7FF"/>
          <w:sz w:val="20"/>
          <w:szCs w:val="20"/>
        </w:rPr>
        <w:t xml:space="preserve">  NGINX — Puerto 80 (Proxy Inverso + Balanceador)</w:t>
      </w:r>
    </w:p>
    <w:p>
      <w:pPr>
        <w:shd w:fill="1E1E1E" w:val="clear"/>
        <w:ind w:left="360"/>
      </w:pPr>
      <w:r>
        <w:rPr>
          <w:rFonts w:ascii="Courier New" w:cs="Courier New" w:eastAsia="Courier New" w:hAnsi="Courier New"/>
          <w:color w:val="00FF41"/>
          <w:sz w:val="20"/>
          <w:szCs w:val="20"/>
        </w:rPr>
        <w:t xml:space="preserve">       │</w:t>
      </w:r>
    </w:p>
    <w:p>
      <w:pPr>
        <w:shd w:fill="1E1E1E" w:val="clear"/>
        <w:ind w:left="360"/>
      </w:pPr>
      <w:r>
        <w:rPr>
          <w:rFonts w:ascii="Courier New" w:cs="Courier New" w:eastAsia="Courier New" w:hAnsi="Courier New"/>
          <w:color w:val="00FF41"/>
          <w:sz w:val="20"/>
          <w:szCs w:val="20"/>
        </w:rPr>
        <w:t xml:space="preserve">  ┌────┴────┬────────────┐</w:t>
      </w:r>
    </w:p>
    <w:p>
      <w:pPr>
        <w:shd w:fill="1E1E1E" w:val="clear"/>
        <w:ind w:left="360"/>
      </w:pPr>
      <w:r>
        <w:rPr>
          <w:rFonts w:ascii="Courier New" w:cs="Courier New" w:eastAsia="Courier New" w:hAnsi="Courier New"/>
          <w:color w:val="90EFEF"/>
          <w:sz w:val="20"/>
          <w:szCs w:val="20"/>
        </w:rPr>
        <w:t xml:space="preserve">  API #1   API #2    API #3  (Node.js:3000)</w:t>
      </w:r>
    </w:p>
    <w:p>
      <w:pPr>
        <w:shd w:fill="1E1E1E" w:val="clear"/>
        <w:ind w:left="360"/>
      </w:pPr>
      <w:r>
        <w:rPr>
          <w:rFonts w:ascii="Courier New" w:cs="Courier New" w:eastAsia="Courier New" w:hAnsi="Courier New"/>
          <w:color w:val="00FF41"/>
          <w:sz w:val="20"/>
          <w:szCs w:val="20"/>
        </w:rPr>
        <w:t xml:space="preserve">  └────┬────┴────────────┘</w:t>
      </w:r>
    </w:p>
    <w:p>
      <w:pPr>
        <w:shd w:fill="1E1E1E" w:val="clear"/>
        <w:ind w:left="360"/>
      </w:pPr>
      <w:r>
        <w:rPr>
          <w:rFonts w:ascii="Courier New" w:cs="Courier New" w:eastAsia="Courier New" w:hAnsi="Courier New"/>
          <w:color w:val="00FF41"/>
          <w:sz w:val="20"/>
          <w:szCs w:val="20"/>
        </w:rPr>
        <w:t xml:space="preserve">       │</w:t>
      </w:r>
    </w:p>
    <w:p>
      <w:pPr>
        <w:shd w:fill="1E1E1E" w:val="clear"/>
        <w:ind w:left="360"/>
      </w:pPr>
      <w:r>
        <w:rPr>
          <w:rFonts w:ascii="Courier New" w:cs="Courier New" w:eastAsia="Courier New" w:hAnsi="Courier New"/>
          <w:color w:val="00FF41"/>
          <w:sz w:val="20"/>
          <w:szCs w:val="20"/>
        </w:rPr>
        <w:t xml:space="preserve">  ┌────┴──────────────┐</w:t>
      </w:r>
    </w:p>
    <w:p>
      <w:pPr>
        <w:shd w:fill="1E1E1E" w:val="clear"/>
        <w:ind w:left="360"/>
      </w:pPr>
      <w:r>
        <w:rPr>
          <w:rFonts w:ascii="Courier New" w:cs="Courier New" w:eastAsia="Courier New" w:hAnsi="Courier New"/>
          <w:color w:val="FFCC80"/>
          <w:sz w:val="20"/>
          <w:szCs w:val="20"/>
        </w:rPr>
        <w:t xml:space="preserve">  PostgreSQL Master  PostgreSQL Replica</w:t>
      </w:r>
    </w:p>
    <w:p>
      <w:pPr>
        <w:shd w:fill="1E1E1E" w:val="clear"/>
        <w:ind w:left="360"/>
      </w:pPr>
      <w:r>
        <w:rPr>
          <w:rFonts w:ascii="Courier New" w:cs="Courier New" w:eastAsia="Courier New" w:hAnsi="Courier New"/>
          <w:color w:val="00FF41"/>
          <w:sz w:val="20"/>
          <w:szCs w:val="20"/>
        </w:rPr>
        <w:t xml:space="preserve">  └──────────────────┘</w:t>
      </w:r>
    </w:p>
    <w:p>
      <w:pPr>
        <w:shd w:fill="1E1E1E" w:val="clear"/>
        <w:ind w:left="360"/>
      </w:pPr>
      <w:r>
        <w:rPr>
          <w:rFonts w:ascii="Courier New" w:cs="Courier New" w:eastAsia="Courier New" w:hAnsi="Courier New"/>
          <w:color w:val="00FF41"/>
          <w:sz w:val="20"/>
          <w:szCs w:val="20"/>
        </w:rPr>
        <w:t xml:space="preserve">       │</w:t>
      </w:r>
    </w:p>
    <w:p>
      <w:pPr>
        <w:shd w:fill="1E1E1E" w:val="clear"/>
        <w:ind w:left="360"/>
      </w:pPr>
      <w:r>
        <w:rPr>
          <w:rFonts w:ascii="Courier New" w:cs="Courier New" w:eastAsia="Courier New" w:hAnsi="Courier New"/>
          <w:color w:val="FFC395"/>
          <w:sz w:val="20"/>
          <w:szCs w:val="20"/>
        </w:rPr>
        <w:t xml:space="preserve">  Volúmenes Docker (LVM)</w:t>
      </w:r>
    </w:p>
    <w:p>
      <w:pPr>
        <w:spacing w:after="100" w:before="100"/>
      </w:pPr>
      <w:r>
        <w:t xml:space="preserve"/>
      </w:r>
    </w:p>
    <w:p>
      <w:pPr>
        <w:pStyle w:val="Heading2"/>
        <w:spacing w:after="160" w:before="300"/>
      </w:pPr>
      <w:r>
        <w:rPr>
          <w:rFonts w:ascii="Arial" w:cs="Arial" w:eastAsia="Arial" w:hAnsi="Arial"/>
          <w:b/>
          <w:bCs/>
          <w:color w:val="003f87"/>
          <w:sz w:val="26"/>
          <w:szCs w:val="26"/>
        </w:rPr>
        <w:t xml:space="preserve">2.2 Componentes Principales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tcW w:type="dxa" w:w="2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Tecnología</w:t>
            </w:r>
          </w:p>
        </w:tc>
        <w:tc>
          <w:tcPr>
            <w:tcW w:type="dxa" w:w="2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Imagen Docker</w:t>
            </w:r>
          </w:p>
        </w:tc>
        <w:tc>
          <w:tcPr>
            <w:tcW w:type="dxa" w:w="336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Función</w:t>
            </w:r>
          </w:p>
        </w:tc>
      </w:tr>
      <w:tr>
        <w:trPr>
          <w:tblHeader w:val="false"/>
        </w:trPr>
        <w:tc>
          <w:tcPr>
            <w:tcW w:type="dxa" w:w="2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Proxy Inverso</w:t>
            </w:r>
          </w:p>
        </w:tc>
        <w:tc>
          <w:tcPr>
            <w:tcW w:type="dxa" w:w="2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NGINX</w:t>
            </w:r>
          </w:p>
        </w:tc>
        <w:tc>
          <w:tcPr>
            <w:tcW w:type="dxa" w:w="2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nginx:alpine</w:t>
            </w:r>
          </w:p>
        </w:tc>
        <w:tc>
          <w:tcPr>
            <w:tcW w:type="dxa" w:w="3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Balanceo de carga round-robin y servidor de archivos estáticos</w:t>
            </w:r>
          </w:p>
        </w:tc>
      </w:tr>
      <w:tr>
        <w:trPr>
          <w:tblHeader w:val="false"/>
        </w:trPr>
        <w:tc>
          <w:tcPr>
            <w:tcW w:type="dxa" w:w="2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Backend API</w:t>
            </w:r>
          </w:p>
        </w:tc>
        <w:tc>
          <w:tcPr>
            <w:tcW w:type="dxa" w:w="2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Node.js 20</w:t>
            </w:r>
          </w:p>
        </w:tc>
        <w:tc>
          <w:tcPr>
            <w:tcW w:type="dxa" w:w="2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node:20-alpine</w:t>
            </w:r>
          </w:p>
        </w:tc>
        <w:tc>
          <w:tcPr>
            <w:tcW w:type="dxa" w:w="3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 REST con Express, autenticación JWT y manejo de archivos</w:t>
            </w:r>
          </w:p>
        </w:tc>
      </w:tr>
      <w:tr>
        <w:trPr>
          <w:tblHeader w:val="false"/>
        </w:trPr>
        <w:tc>
          <w:tcPr>
            <w:tcW w:type="dxa" w:w="2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Base de Datos</w:t>
            </w:r>
          </w:p>
        </w:tc>
        <w:tc>
          <w:tcPr>
            <w:tcW w:type="dxa" w:w="2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PostgreSQL 15</w:t>
            </w:r>
          </w:p>
        </w:tc>
        <w:tc>
          <w:tcPr>
            <w:tcW w:type="dxa" w:w="2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postgres:15</w:t>
            </w:r>
          </w:p>
        </w:tc>
        <w:tc>
          <w:tcPr>
            <w:tcW w:type="dxa" w:w="3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Persistencia relacional con replicación streaming</w:t>
            </w:r>
          </w:p>
        </w:tc>
      </w:tr>
      <w:tr>
        <w:trPr>
          <w:tblHeader w:val="false"/>
        </w:trPr>
        <w:tc>
          <w:tcPr>
            <w:tcW w:type="dxa" w:w="2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Monitoreo</w:t>
            </w:r>
          </w:p>
        </w:tc>
        <w:tc>
          <w:tcPr>
            <w:tcW w:type="dxa" w:w="2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Netdata</w:t>
            </w:r>
          </w:p>
        </w:tc>
        <w:tc>
          <w:tcPr>
            <w:tcW w:type="dxa" w:w="2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netdata/netdata</w:t>
            </w:r>
          </w:p>
        </w:tc>
        <w:tc>
          <w:tcPr>
            <w:tcW w:type="dxa" w:w="3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Métricas en tiempo real de CPU, RAM, red y contenedores</w:t>
            </w:r>
          </w:p>
        </w:tc>
      </w:tr>
      <w:tr>
        <w:trPr>
          <w:tblHeader w:val="false"/>
        </w:trPr>
        <w:tc>
          <w:tcPr>
            <w:tcW w:type="dxa" w:w="2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Tunnel</w:t>
            </w:r>
          </w:p>
        </w:tc>
        <w:tc>
          <w:tcPr>
            <w:tcW w:type="dxa" w:w="2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ngrok 3.x</w:t>
            </w:r>
          </w:p>
        </w:tc>
        <w:tc>
          <w:tcPr>
            <w:tcW w:type="dxa" w:w="2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w:t>
            </w:r>
          </w:p>
        </w:tc>
        <w:tc>
          <w:tcPr>
            <w:tcW w:type="dxa" w:w="3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Acceso externo HTTPS seguro para exposición del servicio</w:t>
            </w:r>
          </w:p>
        </w:tc>
      </w:tr>
    </w:tbl>
    <w:p>
      <w:r>
        <w:br w:type="page"/>
      </w:r>
    </w:p>
    <w:p>
      <w:pPr>
        <w:pStyle w:val="Heading1"/>
        <w:pBdr>
          <w:bottom w:val="single" w:color="003f87" w:sz="6" w:space="4"/>
        </w:pBdr>
        <w:spacing w:after="200" w:before="400"/>
      </w:pPr>
      <w:r>
        <w:rPr>
          <w:rFonts w:ascii="Arial" w:cs="Arial" w:eastAsia="Arial" w:hAnsi="Arial"/>
          <w:b/>
          <w:bCs/>
          <w:color w:val="003f87"/>
          <w:sz w:val="32"/>
          <w:szCs w:val="32"/>
        </w:rPr>
        <w:t xml:space="preserve">3. Infraestructura y Contenedores</w:t>
      </w:r>
    </w:p>
    <w:p>
      <w:pPr>
        <w:pStyle w:val="Heading2"/>
        <w:spacing w:after="160" w:before="300"/>
      </w:pPr>
      <w:r>
        <w:rPr>
          <w:rFonts w:ascii="Arial" w:cs="Arial" w:eastAsia="Arial" w:hAnsi="Arial"/>
          <w:b/>
          <w:bCs/>
          <w:color w:val="003f87"/>
          <w:sz w:val="26"/>
          <w:szCs w:val="26"/>
        </w:rPr>
        <w:t xml:space="preserve">3.1 Docker Compose</w:t>
      </w:r>
    </w:p>
    <w:p>
      <w:pPr>
        <w:spacing w:after="100" w:before="100"/>
      </w:pPr>
      <w:r>
        <w:rPr>
          <w:rFonts w:ascii="Arial" w:cs="Arial" w:eastAsia="Arial" w:hAnsi="Arial"/>
          <w:color w:val="191c21"/>
          <w:sz w:val="22"/>
          <w:szCs w:val="22"/>
        </w:rPr>
        <w:t xml:space="preserve">Todos los servicios se orquestan mediante un único archivo docker-compose.yml ubicado en infra/. La red interna unishare_net permite comunicación entre contenedores por nombre de servicio, sin exponer puertos innecesarios al host.</w:t>
      </w:r>
    </w:p>
    <w:p>
      <w:pPr>
        <w:spacing w:after="100" w:before="100"/>
      </w:pPr>
      <w:r>
        <w:t xml:space="preserve"/>
      </w:r>
    </w:p>
    <w:p>
      <w:pPr>
        <w:pStyle w:val="Heading3"/>
        <w:spacing w:after="120" w:before="200"/>
      </w:pPr>
      <w:r>
        <w:rPr>
          <w:rFonts w:ascii="Arial" w:cs="Arial" w:eastAsia="Arial" w:hAnsi="Arial"/>
          <w:b/>
          <w:bCs/>
          <w:color w:val="424752"/>
          <w:sz w:val="22"/>
          <w:szCs w:val="22"/>
        </w:rPr>
        <w:t xml:space="preserve">Servicios definidos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1960"/>
      </w:tblGrid>
      <w:tr>
        <w:trPr>
          <w:tblHeader/>
        </w:trPr>
        <w:tc>
          <w:tcPr>
            <w:tcW w:type="dxa" w:w="18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Servicio</w:t>
            </w:r>
          </w:p>
        </w:tc>
        <w:tc>
          <w:tcPr>
            <w:tcW w:type="dxa" w:w="2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Contenedor</w:t>
            </w:r>
          </w:p>
        </w:tc>
        <w:tc>
          <w:tcPr>
            <w:tcW w:type="dxa" w:w="18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Puerto Externo</w:t>
            </w:r>
          </w:p>
        </w:tc>
        <w:tc>
          <w:tcPr>
            <w:tcW w:type="dxa" w:w="18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Puerto Interno</w:t>
            </w:r>
          </w:p>
        </w:tc>
        <w:tc>
          <w:tcPr>
            <w:tcW w:type="dxa" w:w="196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restart</w:t>
            </w:r>
          </w:p>
        </w:tc>
      </w:tr>
      <w:tr>
        <w:trPr>
          <w:tblHeader w:val="false"/>
        </w:trPr>
        <w:tc>
          <w:tcPr>
            <w:tcW w:type="dxa" w:w="1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postgres_master</w:t>
            </w:r>
          </w:p>
        </w:tc>
        <w:tc>
          <w:tcPr>
            <w:tcW w:type="dxa" w:w="2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unishare_db_master</w:t>
            </w:r>
          </w:p>
        </w:tc>
        <w:tc>
          <w:tcPr>
            <w:tcW w:type="dxa" w:w="1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w:t>
            </w:r>
          </w:p>
        </w:tc>
        <w:tc>
          <w:tcPr>
            <w:tcW w:type="dxa" w:w="1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5432</w:t>
            </w:r>
          </w:p>
        </w:tc>
        <w:tc>
          <w:tcPr>
            <w:tcW w:type="dxa" w:w="19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unless-stopped</w:t>
            </w:r>
          </w:p>
        </w:tc>
      </w:tr>
      <w:tr>
        <w:trPr>
          <w:tblHeader w:val="false"/>
        </w:trPr>
        <w:tc>
          <w:tcPr>
            <w:tcW w:type="dxa" w:w="1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postgres_replica</w:t>
            </w:r>
          </w:p>
        </w:tc>
        <w:tc>
          <w:tcPr>
            <w:tcW w:type="dxa" w:w="2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unishare_db_replica</w:t>
            </w:r>
          </w:p>
        </w:tc>
        <w:tc>
          <w:tcPr>
            <w:tcW w:type="dxa" w:w="1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w:t>
            </w:r>
          </w:p>
        </w:tc>
        <w:tc>
          <w:tcPr>
            <w:tcW w:type="dxa" w:w="1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5432</w:t>
            </w:r>
          </w:p>
        </w:tc>
        <w:tc>
          <w:tcPr>
            <w:tcW w:type="dxa" w:w="19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unless-stopped</w:t>
            </w:r>
          </w:p>
        </w:tc>
      </w:tr>
      <w:tr>
        <w:trPr>
          <w:tblHeader w:val="false"/>
        </w:trPr>
        <w:tc>
          <w:tcPr>
            <w:tcW w:type="dxa" w:w="1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api_1</w:t>
            </w:r>
          </w:p>
        </w:tc>
        <w:tc>
          <w:tcPr>
            <w:tcW w:type="dxa" w:w="2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unishare_api_1</w:t>
            </w:r>
          </w:p>
        </w:tc>
        <w:tc>
          <w:tcPr>
            <w:tcW w:type="dxa" w:w="1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w:t>
            </w:r>
          </w:p>
        </w:tc>
        <w:tc>
          <w:tcPr>
            <w:tcW w:type="dxa" w:w="1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3000</w:t>
            </w:r>
          </w:p>
        </w:tc>
        <w:tc>
          <w:tcPr>
            <w:tcW w:type="dxa" w:w="19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unless-stopped</w:t>
            </w:r>
          </w:p>
        </w:tc>
      </w:tr>
      <w:tr>
        <w:trPr>
          <w:tblHeader w:val="false"/>
        </w:trPr>
        <w:tc>
          <w:tcPr>
            <w:tcW w:type="dxa" w:w="1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api_2</w:t>
            </w:r>
          </w:p>
        </w:tc>
        <w:tc>
          <w:tcPr>
            <w:tcW w:type="dxa" w:w="2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unishare_api_2</w:t>
            </w:r>
          </w:p>
        </w:tc>
        <w:tc>
          <w:tcPr>
            <w:tcW w:type="dxa" w:w="1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w:t>
            </w:r>
          </w:p>
        </w:tc>
        <w:tc>
          <w:tcPr>
            <w:tcW w:type="dxa" w:w="1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3000</w:t>
            </w:r>
          </w:p>
        </w:tc>
        <w:tc>
          <w:tcPr>
            <w:tcW w:type="dxa" w:w="19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unless-stopped</w:t>
            </w:r>
          </w:p>
        </w:tc>
      </w:tr>
      <w:tr>
        <w:trPr>
          <w:tblHeader w:val="false"/>
        </w:trPr>
        <w:tc>
          <w:tcPr>
            <w:tcW w:type="dxa" w:w="1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api_3</w:t>
            </w:r>
          </w:p>
        </w:tc>
        <w:tc>
          <w:tcPr>
            <w:tcW w:type="dxa" w:w="2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unishare_api_3</w:t>
            </w:r>
          </w:p>
        </w:tc>
        <w:tc>
          <w:tcPr>
            <w:tcW w:type="dxa" w:w="1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w:t>
            </w:r>
          </w:p>
        </w:tc>
        <w:tc>
          <w:tcPr>
            <w:tcW w:type="dxa" w:w="1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3000</w:t>
            </w:r>
          </w:p>
        </w:tc>
        <w:tc>
          <w:tcPr>
            <w:tcW w:type="dxa" w:w="19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unless-stopped</w:t>
            </w:r>
          </w:p>
        </w:tc>
      </w:tr>
      <w:tr>
        <w:trPr>
          <w:tblHeader w:val="false"/>
        </w:trPr>
        <w:tc>
          <w:tcPr>
            <w:tcW w:type="dxa" w:w="1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nginx</w:t>
            </w:r>
          </w:p>
        </w:tc>
        <w:tc>
          <w:tcPr>
            <w:tcW w:type="dxa" w:w="2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unishare_nginx</w:t>
            </w:r>
          </w:p>
        </w:tc>
        <w:tc>
          <w:tcPr>
            <w:tcW w:type="dxa" w:w="1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80:80</w:t>
            </w:r>
          </w:p>
        </w:tc>
        <w:tc>
          <w:tcPr>
            <w:tcW w:type="dxa" w:w="1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80</w:t>
            </w:r>
          </w:p>
        </w:tc>
        <w:tc>
          <w:tcPr>
            <w:tcW w:type="dxa" w:w="19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unless-stopped</w:t>
            </w:r>
          </w:p>
        </w:tc>
      </w:tr>
      <w:tr>
        <w:trPr>
          <w:tblHeader w:val="false"/>
        </w:trPr>
        <w:tc>
          <w:tcPr>
            <w:tcW w:type="dxa" w:w="1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netdata</w:t>
            </w:r>
          </w:p>
        </w:tc>
        <w:tc>
          <w:tcPr>
            <w:tcW w:type="dxa" w:w="2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unishare_netdata</w:t>
            </w:r>
          </w:p>
        </w:tc>
        <w:tc>
          <w:tcPr>
            <w:tcW w:type="dxa" w:w="1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19999:19999</w:t>
            </w:r>
          </w:p>
        </w:tc>
        <w:tc>
          <w:tcPr>
            <w:tcW w:type="dxa" w:w="1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19999</w:t>
            </w:r>
          </w:p>
        </w:tc>
        <w:tc>
          <w:tcPr>
            <w:tcW w:type="dxa" w:w="19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unless-stopped</w:t>
            </w:r>
          </w:p>
        </w:tc>
      </w:tr>
    </w:tbl>
    <w:p>
      <w:pPr>
        <w:spacing w:after="100" w:before="100"/>
      </w:pPr>
      <w:r>
        <w:t xml:space="preserve"/>
      </w:r>
    </w:p>
    <w:p>
      <w:pPr>
        <w:pStyle w:val="Heading2"/>
        <w:spacing w:after="160" w:before="300"/>
      </w:pPr>
      <w:r>
        <w:rPr>
          <w:rFonts w:ascii="Arial" w:cs="Arial" w:eastAsia="Arial" w:hAnsi="Arial"/>
          <w:b/>
          <w:bCs/>
          <w:color w:val="003f87"/>
          <w:sz w:val="26"/>
          <w:szCs w:val="26"/>
        </w:rPr>
        <w:t xml:space="preserve">3.2 Volúmenes Docker</w:t>
      </w:r>
    </w:p>
    <w:p>
      <w:pPr>
        <w:spacing w:after="100" w:before="100"/>
      </w:pPr>
      <w:r>
        <w:rPr>
          <w:rFonts w:ascii="Arial" w:cs="Arial" w:eastAsia="Arial" w:hAnsi="Arial"/>
          <w:color w:val="191c21"/>
          <w:sz w:val="22"/>
          <w:szCs w:val="22"/>
        </w:rPr>
        <w:t xml:space="preserve">Los datos persistentes se almacenan en volúmenes Docker gestionados sobre LVM: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Volumen</w:t>
            </w:r>
          </w:p>
        </w:tc>
        <w:tc>
          <w:tcPr>
            <w:tcW w:type="dxa" w:w="3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Montaje</w:t>
            </w:r>
          </w:p>
        </w:tc>
        <w:tc>
          <w:tcPr>
            <w:tcW w:type="dxa" w:w="386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Contenido</w:t>
            </w:r>
          </w:p>
        </w:tc>
      </w:tr>
      <w:tr>
        <w:trPr>
          <w:tblHeader w:val="false"/>
        </w:trPr>
        <w:tc>
          <w:tcPr>
            <w:tcW w:type="dxa" w:w="25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infra_postgres_master_data</w:t>
            </w:r>
          </w:p>
        </w:tc>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/var/lib/postgresql/data</w:t>
            </w:r>
          </w:p>
        </w:tc>
        <w:tc>
          <w:tcPr>
            <w:tcW w:type="dxa" w:w="38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Datos de PostgreSQL Master</w:t>
            </w:r>
          </w:p>
        </w:tc>
      </w:tr>
      <w:tr>
        <w:trPr>
          <w:tblHeader w:val="false"/>
        </w:trPr>
        <w:tc>
          <w:tcPr>
            <w:tcW w:type="dxa" w:w="25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infra_postgres_replica_data</w:t>
            </w:r>
          </w:p>
        </w:tc>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/var/lib/postgresql/data</w:t>
            </w:r>
          </w:p>
        </w:tc>
        <w:tc>
          <w:tcPr>
            <w:tcW w:type="dxa" w:w="38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Datos de PostgreSQL Replica</w:t>
            </w:r>
          </w:p>
        </w:tc>
      </w:tr>
      <w:tr>
        <w:trPr>
          <w:tblHeader w:val="false"/>
        </w:trPr>
        <w:tc>
          <w:tcPr>
            <w:tcW w:type="dxa" w:w="25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infra_uploads_data</w:t>
            </w:r>
          </w:p>
        </w:tc>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/app/uploads</w:t>
            </w:r>
          </w:p>
        </w:tc>
        <w:tc>
          <w:tcPr>
            <w:tcW w:type="dxa" w:w="38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Archivos subidos por usuarios (PDFs, imágenes)</w:t>
            </w:r>
          </w:p>
        </w:tc>
      </w:tr>
    </w:tbl>
    <w:p>
      <w:pPr>
        <w:spacing w:after="100" w:before="100"/>
      </w:pPr>
      <w:r>
        <w:t xml:space="preserve"/>
      </w:r>
    </w:p>
    <w:p>
      <w:pPr>
        <w:pStyle w:val="Heading2"/>
        <w:spacing w:after="160" w:before="300"/>
      </w:pPr>
      <w:r>
        <w:rPr>
          <w:rFonts w:ascii="Arial" w:cs="Arial" w:eastAsia="Arial" w:hAnsi="Arial"/>
          <w:b/>
          <w:bCs/>
          <w:color w:val="003f87"/>
          <w:sz w:val="26"/>
          <w:szCs w:val="26"/>
        </w:rPr>
        <w:t xml:space="preserve">3.3 Red Interna</w:t>
      </w:r>
    </w:p>
    <w:p>
      <w:pPr>
        <w:spacing w:after="100" w:before="100"/>
      </w:pPr>
      <w:r>
        <w:rPr>
          <w:rFonts w:ascii="Arial" w:cs="Arial" w:eastAsia="Arial" w:hAnsi="Arial"/>
          <w:color w:val="191c21"/>
          <w:sz w:val="22"/>
          <w:szCs w:val="22"/>
        </w:rPr>
        <w:t xml:space="preserve">Todos los servicios están conectados a la red bridge unishare_net. NGINX es el único punto de entrada expuesto al exterior (puerto 80). Las APIs y PostgreSQL son accesibles únicamente desde dentro de la red Docker.</w:t>
      </w:r>
    </w:p>
    <w:p>
      <w:r>
        <w:br w:type="page"/>
      </w:r>
    </w:p>
    <w:p>
      <w:pPr>
        <w:pStyle w:val="Heading1"/>
        <w:pBdr>
          <w:bottom w:val="single" w:color="003f87" w:sz="6" w:space="4"/>
        </w:pBdr>
        <w:spacing w:after="200" w:before="400"/>
      </w:pPr>
      <w:r>
        <w:rPr>
          <w:rFonts w:ascii="Arial" w:cs="Arial" w:eastAsia="Arial" w:hAnsi="Arial"/>
          <w:b/>
          <w:bCs/>
          <w:color w:val="003f87"/>
          <w:sz w:val="32"/>
          <w:szCs w:val="32"/>
        </w:rPr>
        <w:t xml:space="preserve">4. Backend — API REST</w:t>
      </w:r>
    </w:p>
    <w:p>
      <w:pPr>
        <w:pStyle w:val="Heading2"/>
        <w:spacing w:after="160" w:before="300"/>
      </w:pPr>
      <w:r>
        <w:rPr>
          <w:rFonts w:ascii="Arial" w:cs="Arial" w:eastAsia="Arial" w:hAnsi="Arial"/>
          <w:b/>
          <w:bCs/>
          <w:color w:val="003f87"/>
          <w:sz w:val="26"/>
          <w:szCs w:val="26"/>
        </w:rPr>
        <w:t xml:space="preserve">4.1 Tecnologías</w:t>
      </w:r>
    </w:p>
    <w:p>
      <w:pPr>
        <w:pStyle w:val="ListParagraph"/>
        <w:numPr>
          <w:ilvl w:val="0"/>
          <w:numId w:val="2"/>
        </w:numPr>
        <w:spacing w:after="60" w:before="60"/>
      </w:pPr>
      <w:r>
        <w:rPr>
          <w:rFonts w:ascii="Arial" w:cs="Arial" w:eastAsia="Arial" w:hAnsi="Arial"/>
          <w:color w:val="191c21"/>
          <w:sz w:val="22"/>
          <w:szCs w:val="22"/>
        </w:rPr>
        <w:t xml:space="preserve">Node.js 20 LTS — Runtime de JavaScript</w:t>
      </w:r>
    </w:p>
    <w:p>
      <w:pPr>
        <w:pStyle w:val="ListParagraph"/>
        <w:numPr>
          <w:ilvl w:val="0"/>
          <w:numId w:val="2"/>
        </w:numPr>
        <w:spacing w:after="60" w:before="60"/>
      </w:pPr>
      <w:r>
        <w:rPr>
          <w:rFonts w:ascii="Arial" w:cs="Arial" w:eastAsia="Arial" w:hAnsi="Arial"/>
          <w:color w:val="191c21"/>
          <w:sz w:val="22"/>
          <w:szCs w:val="22"/>
        </w:rPr>
        <w:t xml:space="preserve">Express 4.x — Framework web minimalista</w:t>
      </w:r>
    </w:p>
    <w:p>
      <w:pPr>
        <w:pStyle w:val="ListParagraph"/>
        <w:numPr>
          <w:ilvl w:val="0"/>
          <w:numId w:val="2"/>
        </w:numPr>
        <w:spacing w:after="60" w:before="60"/>
      </w:pPr>
      <w:r>
        <w:rPr>
          <w:rFonts w:ascii="Arial" w:cs="Arial" w:eastAsia="Arial" w:hAnsi="Arial"/>
          <w:color w:val="191c21"/>
          <w:sz w:val="22"/>
          <w:szCs w:val="22"/>
        </w:rPr>
        <w:t xml:space="preserve">JWT (jsonwebtoken) — Autenticación stateless</w:t>
      </w:r>
    </w:p>
    <w:p>
      <w:pPr>
        <w:pStyle w:val="ListParagraph"/>
        <w:numPr>
          <w:ilvl w:val="0"/>
          <w:numId w:val="2"/>
        </w:numPr>
        <w:spacing w:after="60" w:before="60"/>
      </w:pPr>
      <w:r>
        <w:rPr>
          <w:rFonts w:ascii="Arial" w:cs="Arial" w:eastAsia="Arial" w:hAnsi="Arial"/>
          <w:color w:val="191c21"/>
          <w:sz w:val="22"/>
          <w:szCs w:val="22"/>
        </w:rPr>
        <w:t xml:space="preserve">bcryptjs — Hashing seguro de contraseñas</w:t>
      </w:r>
    </w:p>
    <w:p>
      <w:pPr>
        <w:pStyle w:val="ListParagraph"/>
        <w:numPr>
          <w:ilvl w:val="0"/>
          <w:numId w:val="2"/>
        </w:numPr>
        <w:spacing w:after="60" w:before="60"/>
      </w:pPr>
      <w:r>
        <w:rPr>
          <w:rFonts w:ascii="Arial" w:cs="Arial" w:eastAsia="Arial" w:hAnsi="Arial"/>
          <w:color w:val="191c21"/>
          <w:sz w:val="22"/>
          <w:szCs w:val="22"/>
        </w:rPr>
        <w:t xml:space="preserve">Multer — Manejo de subida de archivos</w:t>
      </w:r>
    </w:p>
    <w:p>
      <w:pPr>
        <w:pStyle w:val="ListParagraph"/>
        <w:numPr>
          <w:ilvl w:val="0"/>
          <w:numId w:val="2"/>
        </w:numPr>
        <w:spacing w:after="60" w:before="60"/>
      </w:pPr>
      <w:r>
        <w:rPr>
          <w:rFonts w:ascii="Arial" w:cs="Arial" w:eastAsia="Arial" w:hAnsi="Arial"/>
          <w:color w:val="191c21"/>
          <w:sz w:val="22"/>
          <w:szCs w:val="22"/>
        </w:rPr>
        <w:t xml:space="preserve">pg (node-postgres) — Cliente PostgreSQL con pool de conexiones</w:t>
      </w:r>
    </w:p>
    <w:p>
      <w:pPr>
        <w:pStyle w:val="ListParagraph"/>
        <w:numPr>
          <w:ilvl w:val="0"/>
          <w:numId w:val="2"/>
        </w:numPr>
        <w:spacing w:after="60" w:before="60"/>
      </w:pPr>
      <w:r>
        <w:rPr>
          <w:rFonts w:ascii="Arial" w:cs="Arial" w:eastAsia="Arial" w:hAnsi="Arial"/>
          <w:color w:val="191c21"/>
          <w:sz w:val="22"/>
          <w:szCs w:val="22"/>
        </w:rPr>
        <w:t xml:space="preserve">dotenv — Gestión de variables de entorno</w:t>
      </w:r>
    </w:p>
    <w:p>
      <w:pPr>
        <w:pStyle w:val="ListParagraph"/>
        <w:numPr>
          <w:ilvl w:val="0"/>
          <w:numId w:val="2"/>
        </w:numPr>
        <w:spacing w:after="60" w:before="60"/>
      </w:pPr>
      <w:r>
        <w:rPr>
          <w:rFonts w:ascii="Arial" w:cs="Arial" w:eastAsia="Arial" w:hAnsi="Arial"/>
          <w:color w:val="191c21"/>
          <w:sz w:val="22"/>
          <w:szCs w:val="22"/>
        </w:rPr>
        <w:t xml:space="preserve">cors — Habilitación de Cross-Origin Resource Sharing</w:t>
      </w:r>
    </w:p>
    <w:p>
      <w:pPr>
        <w:spacing w:after="100" w:before="100"/>
      </w:pPr>
      <w:r>
        <w:t xml:space="preserve"/>
      </w:r>
    </w:p>
    <w:p>
      <w:pPr>
        <w:pStyle w:val="Heading2"/>
        <w:spacing w:after="160" w:before="300"/>
      </w:pPr>
      <w:r>
        <w:rPr>
          <w:rFonts w:ascii="Arial" w:cs="Arial" w:eastAsia="Arial" w:hAnsi="Arial"/>
          <w:b/>
          <w:bCs/>
          <w:color w:val="003f87"/>
          <w:sz w:val="26"/>
          <w:szCs w:val="26"/>
        </w:rPr>
        <w:t xml:space="preserve">4.2 Estructura de Directorios</w:t>
      </w:r>
    </w:p>
    <w:p>
      <w:pPr>
        <w:spacing w:after="100" w:before="100"/>
      </w:pPr>
      <w:r>
        <w:t xml:space="preserve"/>
      </w:r>
    </w:p>
    <w:p>
      <w:pPr>
        <w:shd w:fill="1E1E1E" w:val="clear"/>
        <w:spacing w:after="60" w:before="60"/>
        <w:ind w:left="360"/>
      </w:pPr>
      <w:r>
        <w:rPr>
          <w:rFonts w:ascii="Courier New" w:cs="Courier New" w:eastAsia="Courier New" w:hAnsi="Courier New"/>
          <w:color w:val="00FF41"/>
          <w:sz w:val="18"/>
          <w:szCs w:val="18"/>
        </w:rPr>
        <w:t xml:space="preserve">backend/</w:t>
      </w:r>
    </w:p>
    <w:p>
      <w:pPr>
        <w:shd w:fill="1E1E1E" w:val="clear"/>
        <w:spacing w:after="60" w:before="60"/>
        <w:ind w:left="360"/>
      </w:pPr>
      <w:r>
        <w:rPr>
          <w:rFonts w:ascii="Courier New" w:cs="Courier New" w:eastAsia="Courier New" w:hAnsi="Courier New"/>
          <w:color w:val="00FF41"/>
          <w:sz w:val="18"/>
          <w:szCs w:val="18"/>
        </w:rPr>
        <w:t xml:space="preserve">├── src/</w:t>
      </w:r>
    </w:p>
    <w:p>
      <w:pPr>
        <w:shd w:fill="1E1E1E" w:val="clear"/>
        <w:spacing w:after="60" w:before="60"/>
        <w:ind w:left="360"/>
      </w:pPr>
      <w:r>
        <w:rPr>
          <w:rFonts w:ascii="Courier New" w:cs="Courier New" w:eastAsia="Courier New" w:hAnsi="Courier New"/>
          <w:color w:val="00FF41"/>
          <w:sz w:val="18"/>
          <w:szCs w:val="18"/>
        </w:rPr>
        <w:t xml:space="preserve">│   ├── config/</w:t>
      </w:r>
    </w:p>
    <w:p>
      <w:pPr>
        <w:shd w:fill="1E1E1E" w:val="clear"/>
        <w:spacing w:after="60" w:before="60"/>
        <w:ind w:left="360"/>
      </w:pPr>
      <w:r>
        <w:rPr>
          <w:rFonts w:ascii="Courier New" w:cs="Courier New" w:eastAsia="Courier New" w:hAnsi="Courier New"/>
          <w:color w:val="00FF41"/>
          <w:sz w:val="18"/>
          <w:szCs w:val="18"/>
        </w:rPr>
        <w:t xml:space="preserve">│   │   ├── database.js       # Pool de conexiones PostgreSQL</w:t>
      </w:r>
    </w:p>
    <w:p>
      <w:pPr>
        <w:shd w:fill="1E1E1E" w:val="clear"/>
        <w:spacing w:after="60" w:before="60"/>
        <w:ind w:left="360"/>
      </w:pPr>
      <w:r>
        <w:rPr>
          <w:rFonts w:ascii="Courier New" w:cs="Courier New" w:eastAsia="Courier New" w:hAnsi="Courier New"/>
          <w:color w:val="00FF41"/>
          <w:sz w:val="18"/>
          <w:szCs w:val="18"/>
        </w:rPr>
        <w:t xml:space="preserve">│   │   └── schema.sql        # Esquema de tablas</w:t>
      </w:r>
    </w:p>
    <w:p>
      <w:pPr>
        <w:shd w:fill="1E1E1E" w:val="clear"/>
        <w:spacing w:after="60" w:before="60"/>
        <w:ind w:left="360"/>
      </w:pPr>
      <w:r>
        <w:rPr>
          <w:rFonts w:ascii="Courier New" w:cs="Courier New" w:eastAsia="Courier New" w:hAnsi="Courier New"/>
          <w:color w:val="00FF41"/>
          <w:sz w:val="18"/>
          <w:szCs w:val="18"/>
        </w:rPr>
        <w:t xml:space="preserve">│   ├── controllers/          # Lógica de negocio</w:t>
      </w:r>
    </w:p>
    <w:p>
      <w:pPr>
        <w:shd w:fill="1E1E1E" w:val="clear"/>
        <w:spacing w:after="60" w:before="60"/>
        <w:ind w:left="360"/>
      </w:pPr>
      <w:r>
        <w:rPr>
          <w:rFonts w:ascii="Courier New" w:cs="Courier New" w:eastAsia="Courier New" w:hAnsi="Courier New"/>
          <w:color w:val="00FF41"/>
          <w:sz w:val="18"/>
          <w:szCs w:val="18"/>
        </w:rPr>
        <w:t xml:space="preserve">│   ├── middlewares/          # JWT auth middleware</w:t>
      </w:r>
    </w:p>
    <w:p>
      <w:pPr>
        <w:shd w:fill="1E1E1E" w:val="clear"/>
        <w:spacing w:after="60" w:before="60"/>
        <w:ind w:left="360"/>
      </w:pPr>
      <w:r>
        <w:rPr>
          <w:rFonts w:ascii="Courier New" w:cs="Courier New" w:eastAsia="Courier New" w:hAnsi="Courier New"/>
          <w:color w:val="00FF41"/>
          <w:sz w:val="18"/>
          <w:szCs w:val="18"/>
        </w:rPr>
        <w:t xml:space="preserve">│   ├── routes/               # Definición de endpoints</w:t>
      </w:r>
    </w:p>
    <w:p>
      <w:pPr>
        <w:shd w:fill="1E1E1E" w:val="clear"/>
        <w:spacing w:after="60" w:before="60"/>
        <w:ind w:left="360"/>
      </w:pPr>
      <w:r>
        <w:rPr>
          <w:rFonts w:ascii="Courier New" w:cs="Courier New" w:eastAsia="Courier New" w:hAnsi="Courier New"/>
          <w:color w:val="00FF41"/>
          <w:sz w:val="18"/>
          <w:szCs w:val="18"/>
        </w:rPr>
        <w:t xml:space="preserve">│   └── index.js              # Punto de entrada</w:t>
      </w:r>
    </w:p>
    <w:p>
      <w:pPr>
        <w:shd w:fill="1E1E1E" w:val="clear"/>
        <w:spacing w:after="60" w:before="60"/>
        <w:ind w:left="360"/>
      </w:pPr>
      <w:r>
        <w:rPr>
          <w:rFonts w:ascii="Courier New" w:cs="Courier New" w:eastAsia="Courier New" w:hAnsi="Courier New"/>
          <w:color w:val="00FF41"/>
          <w:sz w:val="18"/>
          <w:szCs w:val="18"/>
        </w:rPr>
        <w:t xml:space="preserve">├── uploads/                  # Archivos subidos</w:t>
      </w:r>
    </w:p>
    <w:p>
      <w:pPr>
        <w:shd w:fill="1E1E1E" w:val="clear"/>
        <w:spacing w:after="60" w:before="60"/>
        <w:ind w:left="360"/>
      </w:pPr>
      <w:r>
        <w:rPr>
          <w:rFonts w:ascii="Courier New" w:cs="Courier New" w:eastAsia="Courier New" w:hAnsi="Courier New"/>
          <w:color w:val="00FF41"/>
          <w:sz w:val="18"/>
          <w:szCs w:val="18"/>
        </w:rPr>
        <w:t xml:space="preserve">├── Dockerfile</w:t>
      </w:r>
    </w:p>
    <w:p>
      <w:pPr>
        <w:shd w:fill="1E1E1E" w:val="clear"/>
        <w:spacing w:after="60" w:before="60"/>
        <w:ind w:left="360"/>
      </w:pPr>
      <w:r>
        <w:rPr>
          <w:rFonts w:ascii="Courier New" w:cs="Courier New" w:eastAsia="Courier New" w:hAnsi="Courier New"/>
          <w:color w:val="00FF41"/>
          <w:sz w:val="18"/>
          <w:szCs w:val="18"/>
        </w:rPr>
        <w:t xml:space="preserve">└── package.json</w:t>
      </w:r>
    </w:p>
    <w:p>
      <w:pPr>
        <w:spacing w:after="100" w:before="100"/>
      </w:pPr>
      <w:r>
        <w:t xml:space="preserve"/>
      </w:r>
    </w:p>
    <w:p>
      <w:pPr>
        <w:pStyle w:val="Heading2"/>
        <w:spacing w:after="160" w:before="300"/>
      </w:pPr>
      <w:r>
        <w:rPr>
          <w:rFonts w:ascii="Arial" w:cs="Arial" w:eastAsia="Arial" w:hAnsi="Arial"/>
          <w:b/>
          <w:bCs/>
          <w:color w:val="003f87"/>
          <w:sz w:val="26"/>
          <w:szCs w:val="26"/>
        </w:rPr>
        <w:t xml:space="preserve">4.3 Endpoints de la API</w:t>
      </w:r>
    </w:p>
    <w:p>
      <w:pPr>
        <w:spacing w:after="100" w:before="100"/>
      </w:pPr>
      <w:r>
        <w:t xml:space="preserve"/>
      </w:r>
    </w:p>
    <w:p>
      <w:pPr>
        <w:pStyle w:val="Heading3"/>
        <w:spacing w:after="120" w:before="200"/>
      </w:pPr>
      <w:r>
        <w:rPr>
          <w:rFonts w:ascii="Arial" w:cs="Arial" w:eastAsia="Arial" w:hAnsi="Arial"/>
          <w:b/>
          <w:bCs/>
          <w:color w:val="424752"/>
          <w:sz w:val="22"/>
          <w:szCs w:val="22"/>
        </w:rPr>
        <w:t xml:space="preserve">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800"/>
        <w:gridCol w:w="4760"/>
      </w:tblGrid>
      <w:tr>
        <w:trPr>
          <w:tblHeader/>
        </w:trPr>
        <w:tc>
          <w:tcPr>
            <w:tcW w:type="dxa" w:w="1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28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8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476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rPr>
          <w:tblHeader w:val="false"/>
        </w:trPr>
        <w:tc>
          <w:tcPr>
            <w:tcW w:type="dxa" w:w="1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POST</w:t>
            </w:r>
          </w:p>
        </w:tc>
        <w:tc>
          <w:tcPr>
            <w:tcW w:type="dxa" w:w="2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/api/auth/register</w:t>
            </w:r>
          </w:p>
        </w:tc>
        <w:tc>
          <w:tcPr>
            <w:tcW w:type="dxa" w:w="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No</w:t>
            </w:r>
          </w:p>
        </w:tc>
        <w:tc>
          <w:tcPr>
            <w:tcW w:type="dxa" w:w="47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Registrar nuevo usuario</w:t>
            </w:r>
          </w:p>
        </w:tc>
      </w:tr>
      <w:tr>
        <w:trPr>
          <w:tblHeader w:val="false"/>
        </w:trPr>
        <w:tc>
          <w:tcPr>
            <w:tcW w:type="dxa" w:w="1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POST</w:t>
            </w:r>
          </w:p>
        </w:tc>
        <w:tc>
          <w:tcPr>
            <w:tcW w:type="dxa" w:w="2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/api/auth/login</w:t>
            </w:r>
          </w:p>
        </w:tc>
        <w:tc>
          <w:tcPr>
            <w:tcW w:type="dxa" w:w="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No</w:t>
            </w:r>
          </w:p>
        </w:tc>
        <w:tc>
          <w:tcPr>
            <w:tcW w:type="dxa" w:w="47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Iniciar sesión, retorna JWT</w:t>
            </w:r>
          </w:p>
        </w:tc>
      </w:tr>
    </w:tbl>
    <w:p>
      <w:pPr>
        <w:spacing w:after="100" w:before="100"/>
      </w:pPr>
      <w:r>
        <w:t xml:space="preserve"/>
      </w:r>
    </w:p>
    <w:p>
      <w:pPr>
        <w:pStyle w:val="Heading3"/>
        <w:spacing w:after="120" w:before="200"/>
      </w:pPr>
      <w:r>
        <w:rPr>
          <w:rFonts w:ascii="Arial" w:cs="Arial" w:eastAsia="Arial" w:hAnsi="Arial"/>
          <w:b/>
          <w:bCs/>
          <w:color w:val="424752"/>
          <w:sz w:val="22"/>
          <w:szCs w:val="22"/>
        </w:rPr>
        <w:t xml:space="preserve">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800"/>
        <w:gridCol w:w="4760"/>
      </w:tblGrid>
      <w:tr>
        <w:trPr>
          <w:tblHeader/>
        </w:trPr>
        <w:tc>
          <w:tcPr>
            <w:tcW w:type="dxa" w:w="1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28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8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476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rPr>
          <w:tblHeader w:val="false"/>
        </w:trPr>
        <w:tc>
          <w:tcPr>
            <w:tcW w:type="dxa" w:w="1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GET</w:t>
            </w:r>
          </w:p>
        </w:tc>
        <w:tc>
          <w:tcPr>
            <w:tcW w:type="dxa" w:w="2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/api/users/me</w:t>
            </w:r>
          </w:p>
        </w:tc>
        <w:tc>
          <w:tcPr>
            <w:tcW w:type="dxa" w:w="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Sí</w:t>
            </w:r>
          </w:p>
        </w:tc>
        <w:tc>
          <w:tcPr>
            <w:tcW w:type="dxa" w:w="47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Obtener perfil del usuario autenticado</w:t>
            </w:r>
          </w:p>
        </w:tc>
      </w:tr>
      <w:tr>
        <w:trPr>
          <w:tblHeader w:val="false"/>
        </w:trPr>
        <w:tc>
          <w:tcPr>
            <w:tcW w:type="dxa" w:w="1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PUT</w:t>
            </w:r>
          </w:p>
        </w:tc>
        <w:tc>
          <w:tcPr>
            <w:tcW w:type="dxa" w:w="2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/api/users/me</w:t>
            </w:r>
          </w:p>
        </w:tc>
        <w:tc>
          <w:tcPr>
            <w:tcW w:type="dxa" w:w="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Sí</w:t>
            </w:r>
          </w:p>
        </w:tc>
        <w:tc>
          <w:tcPr>
            <w:tcW w:type="dxa" w:w="47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Actualizar nombre, carrera, descripción y foto</w:t>
            </w:r>
          </w:p>
        </w:tc>
      </w:tr>
    </w:tbl>
    <w:p>
      <w:pPr>
        <w:spacing w:after="100" w:before="100"/>
      </w:pPr>
      <w:r>
        <w:t xml:space="preserve"/>
      </w:r>
    </w:p>
    <w:p>
      <w:pPr>
        <w:pStyle w:val="Heading3"/>
        <w:spacing w:after="120" w:before="200"/>
      </w:pPr>
      <w:r>
        <w:rPr>
          <w:rFonts w:ascii="Arial" w:cs="Arial" w:eastAsia="Arial" w:hAnsi="Arial"/>
          <w:b/>
          <w:bCs/>
          <w:color w:val="424752"/>
          <w:sz w:val="22"/>
          <w:szCs w:val="22"/>
        </w:rPr>
        <w:t xml:space="preserve">Materias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800"/>
        <w:gridCol w:w="4760"/>
      </w:tblGrid>
      <w:tr>
        <w:trPr>
          <w:tblHeader/>
        </w:trPr>
        <w:tc>
          <w:tcPr>
            <w:tcW w:type="dxa" w:w="1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28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8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476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rPr>
          <w:tblHeader w:val="false"/>
        </w:trPr>
        <w:tc>
          <w:tcPr>
            <w:tcW w:type="dxa" w:w="1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GET</w:t>
            </w:r>
          </w:p>
        </w:tc>
        <w:tc>
          <w:tcPr>
            <w:tcW w:type="dxa" w:w="2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/api/materias</w:t>
            </w:r>
          </w:p>
        </w:tc>
        <w:tc>
          <w:tcPr>
            <w:tcW w:type="dxa" w:w="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No</w:t>
            </w:r>
          </w:p>
        </w:tc>
        <w:tc>
          <w:tcPr>
            <w:tcW w:type="dxa" w:w="47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Listar todas las materias</w:t>
            </w:r>
          </w:p>
        </w:tc>
      </w:tr>
      <w:tr>
        <w:trPr>
          <w:tblHeader w:val="false"/>
        </w:trPr>
        <w:tc>
          <w:tcPr>
            <w:tcW w:type="dxa" w:w="1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GET</w:t>
            </w:r>
          </w:p>
        </w:tc>
        <w:tc>
          <w:tcPr>
            <w:tcW w:type="dxa" w:w="2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/api/materias/:id</w:t>
            </w:r>
          </w:p>
        </w:tc>
        <w:tc>
          <w:tcPr>
            <w:tcW w:type="dxa" w:w="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No</w:t>
            </w:r>
          </w:p>
        </w:tc>
        <w:tc>
          <w:tcPr>
            <w:tcW w:type="dxa" w:w="47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Obtener una materia por ID</w:t>
            </w:r>
          </w:p>
        </w:tc>
      </w:tr>
      <w:tr>
        <w:trPr>
          <w:tblHeader w:val="false"/>
        </w:trPr>
        <w:tc>
          <w:tcPr>
            <w:tcW w:type="dxa" w:w="1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POST</w:t>
            </w:r>
          </w:p>
        </w:tc>
        <w:tc>
          <w:tcPr>
            <w:tcW w:type="dxa" w:w="2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/api/materias</w:t>
            </w:r>
          </w:p>
        </w:tc>
        <w:tc>
          <w:tcPr>
            <w:tcW w:type="dxa" w:w="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Sí</w:t>
            </w:r>
          </w:p>
        </w:tc>
        <w:tc>
          <w:tcPr>
            <w:tcW w:type="dxa" w:w="47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Crear nueva materia</w:t>
            </w:r>
          </w:p>
        </w:tc>
      </w:tr>
      <w:tr>
        <w:trPr>
          <w:tblHeader w:val="false"/>
        </w:trPr>
        <w:tc>
          <w:tcPr>
            <w:tcW w:type="dxa" w:w="1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PUT</w:t>
            </w:r>
          </w:p>
        </w:tc>
        <w:tc>
          <w:tcPr>
            <w:tcW w:type="dxa" w:w="2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/api/materias/:id</w:t>
            </w:r>
          </w:p>
        </w:tc>
        <w:tc>
          <w:tcPr>
            <w:tcW w:type="dxa" w:w="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Sí</w:t>
            </w:r>
          </w:p>
        </w:tc>
        <w:tc>
          <w:tcPr>
            <w:tcW w:type="dxa" w:w="47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Actualizar materia</w:t>
            </w:r>
          </w:p>
        </w:tc>
      </w:tr>
      <w:tr>
        <w:trPr>
          <w:tblHeader w:val="false"/>
        </w:trPr>
        <w:tc>
          <w:tcPr>
            <w:tcW w:type="dxa" w:w="1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DELETE</w:t>
            </w:r>
          </w:p>
        </w:tc>
        <w:tc>
          <w:tcPr>
            <w:tcW w:type="dxa" w:w="2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/api/materias/:id</w:t>
            </w:r>
          </w:p>
        </w:tc>
        <w:tc>
          <w:tcPr>
            <w:tcW w:type="dxa" w:w="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Sí</w:t>
            </w:r>
          </w:p>
        </w:tc>
        <w:tc>
          <w:tcPr>
            <w:tcW w:type="dxa" w:w="47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Eliminar materia</w:t>
            </w:r>
          </w:p>
        </w:tc>
      </w:tr>
    </w:tbl>
    <w:p>
      <w:pPr>
        <w:spacing w:after="100" w:before="100"/>
      </w:pPr>
      <w:r>
        <w:t xml:space="preserve"/>
      </w:r>
    </w:p>
    <w:p>
      <w:pPr>
        <w:pStyle w:val="Heading3"/>
        <w:spacing w:after="120" w:before="200"/>
      </w:pPr>
      <w:r>
        <w:rPr>
          <w:rFonts w:ascii="Arial" w:cs="Arial" w:eastAsia="Arial" w:hAnsi="Arial"/>
          <w:b/>
          <w:bCs/>
          <w:color w:val="424752"/>
          <w:sz w:val="22"/>
          <w:szCs w:val="22"/>
        </w:rPr>
        <w:t xml:space="preserve">Materiales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800"/>
        <w:gridCol w:w="4760"/>
      </w:tblGrid>
      <w:tr>
        <w:trPr>
          <w:tblHeader/>
        </w:trPr>
        <w:tc>
          <w:tcPr>
            <w:tcW w:type="dxa" w:w="1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28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8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476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rPr>
          <w:tblHeader w:val="false"/>
        </w:trPr>
        <w:tc>
          <w:tcPr>
            <w:tcW w:type="dxa" w:w="1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GET</w:t>
            </w:r>
          </w:p>
        </w:tc>
        <w:tc>
          <w:tcPr>
            <w:tcW w:type="dxa" w:w="2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/api/materiales</w:t>
            </w:r>
          </w:p>
        </w:tc>
        <w:tc>
          <w:tcPr>
            <w:tcW w:type="dxa" w:w="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No</w:t>
            </w:r>
          </w:p>
        </w:tc>
        <w:tc>
          <w:tcPr>
            <w:tcW w:type="dxa" w:w="47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Listar materiales (filtro ?materia_id=)</w:t>
            </w:r>
          </w:p>
        </w:tc>
      </w:tr>
      <w:tr>
        <w:trPr>
          <w:tblHeader w:val="false"/>
        </w:trPr>
        <w:tc>
          <w:tcPr>
            <w:tcW w:type="dxa" w:w="1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GET</w:t>
            </w:r>
          </w:p>
        </w:tc>
        <w:tc>
          <w:tcPr>
            <w:tcW w:type="dxa" w:w="2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/api/materiales/:id</w:t>
            </w:r>
          </w:p>
        </w:tc>
        <w:tc>
          <w:tcPr>
            <w:tcW w:type="dxa" w:w="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No</w:t>
            </w:r>
          </w:p>
        </w:tc>
        <w:tc>
          <w:tcPr>
            <w:tcW w:type="dxa" w:w="47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Obtener material por ID</w:t>
            </w:r>
          </w:p>
        </w:tc>
      </w:tr>
      <w:tr>
        <w:trPr>
          <w:tblHeader w:val="false"/>
        </w:trPr>
        <w:tc>
          <w:tcPr>
            <w:tcW w:type="dxa" w:w="1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POST</w:t>
            </w:r>
          </w:p>
        </w:tc>
        <w:tc>
          <w:tcPr>
            <w:tcW w:type="dxa" w:w="2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/api/materiales</w:t>
            </w:r>
          </w:p>
        </w:tc>
        <w:tc>
          <w:tcPr>
            <w:tcW w:type="dxa" w:w="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Sí</w:t>
            </w:r>
          </w:p>
        </w:tc>
        <w:tc>
          <w:tcPr>
            <w:tcW w:type="dxa" w:w="47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Subir material con archivo adjunto</w:t>
            </w:r>
          </w:p>
        </w:tc>
      </w:tr>
      <w:tr>
        <w:trPr>
          <w:tblHeader w:val="false"/>
        </w:trPr>
        <w:tc>
          <w:tcPr>
            <w:tcW w:type="dxa" w:w="1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DELETE</w:t>
            </w:r>
          </w:p>
        </w:tc>
        <w:tc>
          <w:tcPr>
            <w:tcW w:type="dxa" w:w="2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/api/materiales/:id</w:t>
            </w:r>
          </w:p>
        </w:tc>
        <w:tc>
          <w:tcPr>
            <w:tcW w:type="dxa" w:w="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Sí</w:t>
            </w:r>
          </w:p>
        </w:tc>
        <w:tc>
          <w:tcPr>
            <w:tcW w:type="dxa" w:w="47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Eliminar material propio</w:t>
            </w:r>
          </w:p>
        </w:tc>
      </w:tr>
      <w:tr>
        <w:trPr>
          <w:tblHeader w:val="false"/>
        </w:trPr>
        <w:tc>
          <w:tcPr>
            <w:tcW w:type="dxa" w:w="1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POST</w:t>
            </w:r>
          </w:p>
        </w:tc>
        <w:tc>
          <w:tcPr>
            <w:tcW w:type="dxa" w:w="2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/api/materiales/:id/like</w:t>
            </w:r>
          </w:p>
        </w:tc>
        <w:tc>
          <w:tcPr>
            <w:tcW w:type="dxa" w:w="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Sí</w:t>
            </w:r>
          </w:p>
        </w:tc>
        <w:tc>
          <w:tcPr>
            <w:tcW w:type="dxa" w:w="47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Dar like a un material</w:t>
            </w:r>
          </w:p>
        </w:tc>
      </w:tr>
      <w:tr>
        <w:trPr>
          <w:tblHeader w:val="false"/>
        </w:trPr>
        <w:tc>
          <w:tcPr>
            <w:tcW w:type="dxa" w:w="1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GET</w:t>
            </w:r>
          </w:p>
        </w:tc>
        <w:tc>
          <w:tcPr>
            <w:tcW w:type="dxa" w:w="2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/api/materiales/:id/descargar</w:t>
            </w:r>
          </w:p>
        </w:tc>
        <w:tc>
          <w:tcPr>
            <w:tcW w:type="dxa" w:w="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No</w:t>
            </w:r>
          </w:p>
        </w:tc>
        <w:tc>
          <w:tcPr>
            <w:tcW w:type="dxa" w:w="47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Descargar archivo y sumar contador</w:t>
            </w:r>
          </w:p>
        </w:tc>
      </w:tr>
    </w:tbl>
    <w:p>
      <w:pPr>
        <w:spacing w:after="100" w:before="100"/>
      </w:pPr>
      <w:r>
        <w:t xml:space="preserve"/>
      </w:r>
    </w:p>
    <w:p>
      <w:pPr>
        <w:pStyle w:val="Heading3"/>
        <w:spacing w:after="120" w:before="200"/>
      </w:pPr>
      <w:r>
        <w:rPr>
          <w:rFonts w:ascii="Arial" w:cs="Arial" w:eastAsia="Arial" w:hAnsi="Arial"/>
          <w:b/>
          <w:bCs/>
          <w:color w:val="424752"/>
          <w:sz w:val="22"/>
          <w:szCs w:val="22"/>
        </w:rPr>
        <w:t xml:space="preserve">Comentarios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800"/>
        <w:gridCol w:w="4760"/>
      </w:tblGrid>
      <w:tr>
        <w:trPr>
          <w:tblHeader/>
        </w:trPr>
        <w:tc>
          <w:tcPr>
            <w:tcW w:type="dxa" w:w="1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28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8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476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rPr>
          <w:tblHeader w:val="false"/>
        </w:trPr>
        <w:tc>
          <w:tcPr>
            <w:tcW w:type="dxa" w:w="1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GET</w:t>
            </w:r>
          </w:p>
        </w:tc>
        <w:tc>
          <w:tcPr>
            <w:tcW w:type="dxa" w:w="2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/api/materiales/:id/comentarios</w:t>
            </w:r>
          </w:p>
        </w:tc>
        <w:tc>
          <w:tcPr>
            <w:tcW w:type="dxa" w:w="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No</w:t>
            </w:r>
          </w:p>
        </w:tc>
        <w:tc>
          <w:tcPr>
            <w:tcW w:type="dxa" w:w="47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Ver comentarios de un material</w:t>
            </w:r>
          </w:p>
        </w:tc>
      </w:tr>
      <w:tr>
        <w:trPr>
          <w:tblHeader w:val="false"/>
        </w:trPr>
        <w:tc>
          <w:tcPr>
            <w:tcW w:type="dxa" w:w="1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POST</w:t>
            </w:r>
          </w:p>
        </w:tc>
        <w:tc>
          <w:tcPr>
            <w:tcW w:type="dxa" w:w="2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/api/materiales/:id/comentarios</w:t>
            </w:r>
          </w:p>
        </w:tc>
        <w:tc>
          <w:tcPr>
            <w:tcW w:type="dxa" w:w="8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Sí</w:t>
            </w:r>
          </w:p>
        </w:tc>
        <w:tc>
          <w:tcPr>
            <w:tcW w:type="dxa" w:w="47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Comentar un material</w:t>
            </w:r>
          </w:p>
        </w:tc>
      </w:tr>
      <w:tr>
        <w:trPr>
          <w:tblHeader w:val="false"/>
        </w:trPr>
        <w:tc>
          <w:tcPr>
            <w:tcW w:type="dxa" w:w="1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DELETE</w:t>
            </w:r>
          </w:p>
        </w:tc>
        <w:tc>
          <w:tcPr>
            <w:tcW w:type="dxa" w:w="2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/api/materiales/:mid/comentarios/:id</w:t>
            </w:r>
          </w:p>
        </w:tc>
        <w:tc>
          <w:tcPr>
            <w:tcW w:type="dxa" w:w="8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Sí</w:t>
            </w:r>
          </w:p>
        </w:tc>
        <w:tc>
          <w:tcPr>
            <w:tcW w:type="dxa" w:w="47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Eliminar comentario propio</w:t>
            </w:r>
          </w:p>
        </w:tc>
      </w:tr>
    </w:tbl>
    <w:p>
      <w:pPr>
        <w:spacing w:after="100" w:before="100"/>
      </w:pPr>
      <w:r>
        <w:t xml:space="preserve"/>
      </w:r>
    </w:p>
    <w:p>
      <w:pPr>
        <w:pStyle w:val="Heading2"/>
        <w:spacing w:after="160" w:before="300"/>
      </w:pPr>
      <w:r>
        <w:rPr>
          <w:rFonts w:ascii="Arial" w:cs="Arial" w:eastAsia="Arial" w:hAnsi="Arial"/>
          <w:b/>
          <w:bCs/>
          <w:color w:val="003f87"/>
          <w:sz w:val="26"/>
          <w:szCs w:val="26"/>
        </w:rPr>
        <w:t xml:space="preserve">4.4 Autenticación JWT</w:t>
      </w:r>
    </w:p>
    <w:p>
      <w:pPr>
        <w:spacing w:after="100" w:before="100"/>
      </w:pPr>
      <w:r>
        <w:rPr>
          <w:rFonts w:ascii="Arial" w:cs="Arial" w:eastAsia="Arial" w:hAnsi="Arial"/>
          <w:color w:val="191c21"/>
          <w:sz w:val="22"/>
          <w:szCs w:val="22"/>
        </w:rPr>
        <w:t xml:space="preserve">El sistema utiliza JSON Web Tokens (JWT) para autenticación stateless. El token se genera al hacer login y debe incluirse en el header Authorization de cada petición protegida:</w:t>
      </w:r>
    </w:p>
    <w:p>
      <w:pPr>
        <w:spacing w:after="100" w:before="100"/>
      </w:pPr>
      <w:r>
        <w:t xml:space="preserve"/>
      </w:r>
    </w:p>
    <w:p>
      <w:pPr>
        <w:shd w:fill="1E1E1E" w:val="clear"/>
        <w:spacing w:after="60" w:before="60"/>
        <w:ind w:left="360"/>
      </w:pPr>
      <w:r>
        <w:rPr>
          <w:rFonts w:ascii="Courier New" w:cs="Courier New" w:eastAsia="Courier New" w:hAnsi="Courier New"/>
          <w:color w:val="00FF41"/>
          <w:sz w:val="18"/>
          <w:szCs w:val="18"/>
        </w:rPr>
        <w:t xml:space="preserve">Authorization: Bearer eyJhbGciOiJIUzI1NiIsInR5cCI6IkpXVCJ9...</w:t>
      </w:r>
    </w:p>
    <w:p>
      <w:pPr>
        <w:spacing w:after="100" w:before="100"/>
      </w:pPr>
      <w:r>
        <w:t xml:space="preserve"/>
      </w:r>
    </w:p>
    <w:p>
      <w:pPr>
        <w:spacing w:after="100" w:before="100"/>
      </w:pPr>
      <w:r>
        <w:rPr>
          <w:rFonts w:ascii="Arial" w:cs="Arial" w:eastAsia="Arial" w:hAnsi="Arial"/>
          <w:color w:val="191c21"/>
          <w:sz w:val="22"/>
          <w:szCs w:val="22"/>
        </w:rPr>
        <w:t xml:space="preserve">El payload del token contiene: id, nombre y correo del usuario. La expiración es configurable mediante la variable JWT_EXPIRES_IN (default: 7 días).</w:t>
      </w:r>
    </w:p>
    <w:p>
      <w:r>
        <w:br w:type="page"/>
      </w:r>
    </w:p>
    <w:p>
      <w:pPr>
        <w:pStyle w:val="Heading1"/>
        <w:pBdr>
          <w:bottom w:val="single" w:color="003f87" w:sz="6" w:space="4"/>
        </w:pBdr>
        <w:spacing w:after="200" w:before="400"/>
      </w:pPr>
      <w:r>
        <w:rPr>
          <w:rFonts w:ascii="Arial" w:cs="Arial" w:eastAsia="Arial" w:hAnsi="Arial"/>
          <w:b/>
          <w:bCs/>
          <w:color w:val="003f87"/>
          <w:sz w:val="32"/>
          <w:szCs w:val="32"/>
        </w:rPr>
        <w:t xml:space="preserve">5. Base de Datos</w:t>
      </w:r>
    </w:p>
    <w:p>
      <w:pPr>
        <w:pStyle w:val="Heading2"/>
        <w:spacing w:after="160" w:before="300"/>
      </w:pPr>
      <w:r>
        <w:rPr>
          <w:rFonts w:ascii="Arial" w:cs="Arial" w:eastAsia="Arial" w:hAnsi="Arial"/>
          <w:b/>
          <w:bCs/>
          <w:color w:val="003f87"/>
          <w:sz w:val="26"/>
          <w:szCs w:val="26"/>
        </w:rPr>
        <w:t xml:space="preserve">5.1 Motor y Versión</w:t>
      </w:r>
    </w:p>
    <w:p>
      <w:pPr>
        <w:spacing w:after="100" w:before="100"/>
      </w:pPr>
      <w:r>
        <w:rPr>
          <w:rFonts w:ascii="Arial" w:cs="Arial" w:eastAsia="Arial" w:hAnsi="Arial"/>
          <w:color w:val="191c21"/>
          <w:sz w:val="22"/>
          <w:szCs w:val="22"/>
        </w:rPr>
        <w:t xml:space="preserve">PostgreSQL 15 con pool de conexiones gestionado por la librería pg de Node.js. Se utiliza el patrón de conexión por pool para reutilizar conexiones y evitar overhead.</w:t>
      </w:r>
    </w:p>
    <w:p>
      <w:pPr>
        <w:spacing w:after="100" w:before="100"/>
      </w:pPr>
      <w:r>
        <w:t xml:space="preserve"/>
      </w:r>
    </w:p>
    <w:p>
      <w:pPr>
        <w:pStyle w:val="Heading2"/>
        <w:spacing w:after="160" w:before="300"/>
      </w:pPr>
      <w:r>
        <w:rPr>
          <w:rFonts w:ascii="Arial" w:cs="Arial" w:eastAsia="Arial" w:hAnsi="Arial"/>
          <w:b/>
          <w:bCs/>
          <w:color w:val="003f87"/>
          <w:sz w:val="26"/>
          <w:szCs w:val="26"/>
        </w:rPr>
        <w:t xml:space="preserve">5.2 Modelo de Datos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Tabla</w:t>
            </w:r>
          </w:p>
        </w:tc>
        <w:tc>
          <w:tcPr>
            <w:tcW w:type="dxa" w:w="45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Columnas Principales</w:t>
            </w:r>
          </w:p>
        </w:tc>
        <w:tc>
          <w:tcPr>
            <w:tcW w:type="dxa" w:w="286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rPr>
          <w:tblHeader w:val="false"/>
        </w:trPr>
        <w:tc>
          <w:tcPr>
            <w:tcW w:type="dxa" w:w="2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usuarios</w:t>
            </w:r>
          </w:p>
        </w:tc>
        <w:tc>
          <w:tcPr>
            <w:tcW w:type="dxa" w:w="45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id, nombre, correo, carrera, cuatrimestre, password_hash, foto_url, descripcion</w:t>
            </w:r>
          </w:p>
        </w:tc>
        <w:tc>
          <w:tcPr>
            <w:tcW w:type="dxa" w:w="28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Usuarios registrados en la plataforma</w:t>
            </w:r>
          </w:p>
        </w:tc>
      </w:tr>
      <w:tr>
        <w:trPr>
          <w:tblHeader w:val="false"/>
        </w:trPr>
        <w:tc>
          <w:tcPr>
            <w:tcW w:type="dxa" w:w="2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materias</w:t>
            </w:r>
          </w:p>
        </w:tc>
        <w:tc>
          <w:tcPr>
            <w:tcW w:type="dxa" w:w="45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id, nombre, descripcion</w:t>
            </w:r>
          </w:p>
        </w:tc>
        <w:tc>
          <w:tcPr>
            <w:tcW w:type="dxa" w:w="28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Catálogo de materias por carrera</w:t>
            </w:r>
          </w:p>
        </w:tc>
      </w:tr>
      <w:tr>
        <w:trPr>
          <w:tblHeader w:val="false"/>
        </w:trPr>
        <w:tc>
          <w:tcPr>
            <w:tcW w:type="dxa" w:w="2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materiales</w:t>
            </w:r>
          </w:p>
        </w:tc>
        <w:tc>
          <w:tcPr>
            <w:tcW w:type="dxa" w:w="45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id, titulo, descripcion, archivo_url, tipo, usuario_id, materia_id, likes, descargas</w:t>
            </w:r>
          </w:p>
        </w:tc>
        <w:tc>
          <w:tcPr>
            <w:tcW w:type="dxa" w:w="28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Archivos académicos subidos</w:t>
            </w:r>
          </w:p>
        </w:tc>
      </w:tr>
      <w:tr>
        <w:trPr>
          <w:tblHeader w:val="false"/>
        </w:trPr>
        <w:tc>
          <w:tcPr>
            <w:tcW w:type="dxa" w:w="2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comentarios</w:t>
            </w:r>
          </w:p>
        </w:tc>
        <w:tc>
          <w:tcPr>
            <w:tcW w:type="dxa" w:w="45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id, contenido, usuario_id, material_id</w:t>
            </w:r>
          </w:p>
        </w:tc>
        <w:tc>
          <w:tcPr>
            <w:tcW w:type="dxa" w:w="28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Comentarios en materiales</w:t>
            </w:r>
          </w:p>
        </w:tc>
      </w:tr>
    </w:tbl>
    <w:p>
      <w:pPr>
        <w:spacing w:after="100" w:before="100"/>
      </w:pPr>
      <w:r>
        <w:t xml:space="preserve"/>
      </w:r>
    </w:p>
    <w:p>
      <w:pPr>
        <w:pStyle w:val="Heading2"/>
        <w:spacing w:after="160" w:before="300"/>
      </w:pPr>
      <w:r>
        <w:rPr>
          <w:rFonts w:ascii="Arial" w:cs="Arial" w:eastAsia="Arial" w:hAnsi="Arial"/>
          <w:b/>
          <w:bCs/>
          <w:color w:val="003f87"/>
          <w:sz w:val="26"/>
          <w:szCs w:val="26"/>
        </w:rPr>
        <w:t xml:space="preserve">5.3 Relaciones</w:t>
      </w:r>
    </w:p>
    <w:p>
      <w:pPr>
        <w:pStyle w:val="ListParagraph"/>
        <w:numPr>
          <w:ilvl w:val="0"/>
          <w:numId w:val="2"/>
        </w:numPr>
        <w:spacing w:after="60" w:before="60"/>
      </w:pPr>
      <w:r>
        <w:rPr>
          <w:rFonts w:ascii="Arial" w:cs="Arial" w:eastAsia="Arial" w:hAnsi="Arial"/>
          <w:color w:val="191c21"/>
          <w:sz w:val="22"/>
          <w:szCs w:val="22"/>
        </w:rPr>
        <w:t xml:space="preserve">usuarios 1:N materiales — Un usuario puede subir múltiples materiales</w:t>
      </w:r>
    </w:p>
    <w:p>
      <w:pPr>
        <w:pStyle w:val="ListParagraph"/>
        <w:numPr>
          <w:ilvl w:val="0"/>
          <w:numId w:val="2"/>
        </w:numPr>
        <w:spacing w:after="60" w:before="60"/>
      </w:pPr>
      <w:r>
        <w:rPr>
          <w:rFonts w:ascii="Arial" w:cs="Arial" w:eastAsia="Arial" w:hAnsi="Arial"/>
          <w:color w:val="191c21"/>
          <w:sz w:val="22"/>
          <w:szCs w:val="22"/>
        </w:rPr>
        <w:t xml:space="preserve">materias 1:N materiales — Una materia puede tener múltiples materiales</w:t>
      </w:r>
    </w:p>
    <w:p>
      <w:pPr>
        <w:pStyle w:val="ListParagraph"/>
        <w:numPr>
          <w:ilvl w:val="0"/>
          <w:numId w:val="2"/>
        </w:numPr>
        <w:spacing w:after="60" w:before="60"/>
      </w:pPr>
      <w:r>
        <w:rPr>
          <w:rFonts w:ascii="Arial" w:cs="Arial" w:eastAsia="Arial" w:hAnsi="Arial"/>
          <w:color w:val="191c21"/>
          <w:sz w:val="22"/>
          <w:szCs w:val="22"/>
        </w:rPr>
        <w:t xml:space="preserve">usuarios 1:N comentarios — Un usuario puede hacer múltiples comentarios</w:t>
      </w:r>
    </w:p>
    <w:p>
      <w:pPr>
        <w:pStyle w:val="ListParagraph"/>
        <w:numPr>
          <w:ilvl w:val="0"/>
          <w:numId w:val="2"/>
        </w:numPr>
        <w:spacing w:after="60" w:before="60"/>
      </w:pPr>
      <w:r>
        <w:rPr>
          <w:rFonts w:ascii="Arial" w:cs="Arial" w:eastAsia="Arial" w:hAnsi="Arial"/>
          <w:color w:val="191c21"/>
          <w:sz w:val="22"/>
          <w:szCs w:val="22"/>
        </w:rPr>
        <w:t xml:space="preserve">materiales 1:N comentarios — Un material puede tener múltiples comentarios</w:t>
      </w:r>
    </w:p>
    <w:p>
      <w:pPr>
        <w:spacing w:after="100" w:before="100"/>
      </w:pPr>
      <w:r>
        <w:t xml:space="preserve"/>
      </w:r>
    </w:p>
    <w:p>
      <w:pPr>
        <w:pStyle w:val="Heading2"/>
        <w:spacing w:after="160" w:before="300"/>
      </w:pPr>
      <w:r>
        <w:rPr>
          <w:rFonts w:ascii="Arial" w:cs="Arial" w:eastAsia="Arial" w:hAnsi="Arial"/>
          <w:b/>
          <w:bCs/>
          <w:color w:val="003f87"/>
          <w:sz w:val="26"/>
          <w:szCs w:val="26"/>
        </w:rPr>
        <w:t xml:space="preserve">5.4 Replicación Master/Replica</w:t>
      </w:r>
    </w:p>
    <w:p>
      <w:pPr>
        <w:spacing w:after="100" w:before="100"/>
      </w:pPr>
      <w:r>
        <w:rPr>
          <w:rFonts w:ascii="Arial" w:cs="Arial" w:eastAsia="Arial" w:hAnsi="Arial"/>
          <w:color w:val="191c21"/>
          <w:sz w:val="22"/>
          <w:szCs w:val="22"/>
        </w:rPr>
        <w:t xml:space="preserve">Se implementa PostgreSQL Streaming Replication asíncrona entre el nodo master y un nodo replica:</w:t>
      </w:r>
    </w:p>
    <w:p>
      <w:pPr>
        <w:spacing w:after="100" w:before="100"/>
      </w:pPr>
      <w:r>
        <w:t xml:space="preserve"/>
      </w:r>
    </w:p>
    <w:p>
      <w:pPr>
        <w:pStyle w:val="ListParagraph"/>
        <w:numPr>
          <w:ilvl w:val="0"/>
          <w:numId w:val="2"/>
        </w:numPr>
        <w:spacing w:after="60" w:before="60"/>
      </w:pPr>
      <w:r>
        <w:rPr>
          <w:rFonts w:ascii="Arial" w:cs="Arial" w:eastAsia="Arial" w:hAnsi="Arial"/>
          <w:color w:val="191c21"/>
          <w:sz w:val="22"/>
          <w:szCs w:val="22"/>
        </w:rPr>
        <w:t xml:space="preserve">El master acepta escrituras y lecturas, transmite el WAL (Write-Ahead Log) al replica</w:t>
      </w:r>
    </w:p>
    <w:p>
      <w:pPr>
        <w:pStyle w:val="ListParagraph"/>
        <w:numPr>
          <w:ilvl w:val="0"/>
          <w:numId w:val="2"/>
        </w:numPr>
        <w:spacing w:after="60" w:before="60"/>
      </w:pPr>
      <w:r>
        <w:rPr>
          <w:rFonts w:ascii="Arial" w:cs="Arial" w:eastAsia="Arial" w:hAnsi="Arial"/>
          <w:color w:val="191c21"/>
          <w:sz w:val="22"/>
          <w:szCs w:val="22"/>
        </w:rPr>
        <w:t xml:space="preserve">El replica opera en modo standby (read-only), replicando los datos en tiempo real</w:t>
      </w:r>
    </w:p>
    <w:p>
      <w:pPr>
        <w:pStyle w:val="ListParagraph"/>
        <w:numPr>
          <w:ilvl w:val="0"/>
          <w:numId w:val="2"/>
        </w:numPr>
        <w:spacing w:after="60" w:before="60"/>
      </w:pPr>
      <w:r>
        <w:rPr>
          <w:rFonts w:ascii="Arial" w:cs="Arial" w:eastAsia="Arial" w:hAnsi="Arial"/>
          <w:color w:val="191c21"/>
          <w:sz w:val="22"/>
          <w:szCs w:val="22"/>
        </w:rPr>
        <w:t xml:space="preserve">La replicación se verifica con: SELECT client_addr, state FROM pg_stat_replication</w:t>
      </w:r>
    </w:p>
    <w:p>
      <w:pPr>
        <w:spacing w:after="100" w:before="100"/>
      </w:pPr>
      <w:r>
        <w:t xml:space="preserve"/>
      </w:r>
    </w:p>
    <w:p>
      <w:pPr>
        <w:spacing w:after="100" w:before="100"/>
      </w:pPr>
      <w:r>
        <w:rPr>
          <w:rFonts w:ascii="Arial" w:cs="Arial" w:eastAsia="Arial" w:hAnsi="Arial"/>
          <w:color w:val="191c21"/>
          <w:sz w:val="22"/>
          <w:szCs w:val="22"/>
        </w:rPr>
        <w:t xml:space="preserve">Configuración del master (parámetros clave):</w:t>
      </w:r>
    </w:p>
    <w:p>
      <w:pPr>
        <w:shd w:fill="1E1E1E" w:val="clear"/>
        <w:spacing w:after="60" w:before="60"/>
        <w:ind w:left="360"/>
      </w:pPr>
      <w:r>
        <w:rPr>
          <w:rFonts w:ascii="Courier New" w:cs="Courier New" w:eastAsia="Courier New" w:hAnsi="Courier New"/>
          <w:color w:val="00FF41"/>
          <w:sz w:val="18"/>
          <w:szCs w:val="18"/>
        </w:rPr>
        <w:t xml:space="preserve">wal_level = replica</w:t>
      </w:r>
    </w:p>
    <w:p>
      <w:pPr>
        <w:shd w:fill="1E1E1E" w:val="clear"/>
        <w:spacing w:after="60" w:before="60"/>
        <w:ind w:left="360"/>
      </w:pPr>
      <w:r>
        <w:rPr>
          <w:rFonts w:ascii="Courier New" w:cs="Courier New" w:eastAsia="Courier New" w:hAnsi="Courier New"/>
          <w:color w:val="00FF41"/>
          <w:sz w:val="18"/>
          <w:szCs w:val="18"/>
        </w:rPr>
        <w:t xml:space="preserve">max_wal_senders = 3</w:t>
      </w:r>
    </w:p>
    <w:p>
      <w:pPr>
        <w:shd w:fill="1E1E1E" w:val="clear"/>
        <w:spacing w:after="60" w:before="60"/>
        <w:ind w:left="360"/>
      </w:pPr>
      <w:r>
        <w:rPr>
          <w:rFonts w:ascii="Courier New" w:cs="Courier New" w:eastAsia="Courier New" w:hAnsi="Courier New"/>
          <w:color w:val="00FF41"/>
          <w:sz w:val="18"/>
          <w:szCs w:val="18"/>
        </w:rPr>
        <w:t xml:space="preserve">wal_keep_size = 64</w:t>
      </w:r>
    </w:p>
    <w:p>
      <w:pPr>
        <w:spacing w:after="100" w:before="100"/>
      </w:pPr>
      <w:r>
        <w:t xml:space="preserve"/>
      </w:r>
    </w:p>
    <w:p>
      <w:pPr>
        <w:spacing w:after="100" w:before="100"/>
      </w:pPr>
      <w:r>
        <w:rPr>
          <w:rFonts w:ascii="Arial" w:cs="Arial" w:eastAsia="Arial" w:hAnsi="Arial"/>
          <w:color w:val="191c21"/>
          <w:sz w:val="22"/>
          <w:szCs w:val="22"/>
        </w:rPr>
        <w:t xml:space="preserve">En caso de fallo del master, el replica puede promoverse a master manualmente para garantizar continuidad del servicio.</w:t>
      </w:r>
    </w:p>
    <w:p>
      <w:r>
        <w:br w:type="page"/>
      </w:r>
    </w:p>
    <w:p>
      <w:pPr>
        <w:pStyle w:val="Heading1"/>
        <w:pBdr>
          <w:bottom w:val="single" w:color="003f87" w:sz="6" w:space="4"/>
        </w:pBdr>
        <w:spacing w:after="200" w:before="400"/>
      </w:pPr>
      <w:r>
        <w:rPr>
          <w:rFonts w:ascii="Arial" w:cs="Arial" w:eastAsia="Arial" w:hAnsi="Arial"/>
          <w:b/>
          <w:bCs/>
          <w:color w:val="003f87"/>
          <w:sz w:val="32"/>
          <w:szCs w:val="32"/>
        </w:rPr>
        <w:t xml:space="preserve">6. NGINX — Proxy Inverso y Balanceador</w:t>
      </w:r>
    </w:p>
    <w:p>
      <w:pPr>
        <w:pStyle w:val="Heading2"/>
        <w:spacing w:after="160" w:before="300"/>
      </w:pPr>
      <w:r>
        <w:rPr>
          <w:rFonts w:ascii="Arial" w:cs="Arial" w:eastAsia="Arial" w:hAnsi="Arial"/>
          <w:b/>
          <w:bCs/>
          <w:color w:val="003f87"/>
          <w:sz w:val="26"/>
          <w:szCs w:val="26"/>
        </w:rPr>
        <w:t xml:space="preserve">6.1 Rol en la Arquitectura</w:t>
      </w:r>
    </w:p>
    <w:p>
      <w:pPr>
        <w:spacing w:after="100" w:before="100"/>
      </w:pPr>
      <w:r>
        <w:rPr>
          <w:rFonts w:ascii="Arial" w:cs="Arial" w:eastAsia="Arial" w:hAnsi="Arial"/>
          <w:color w:val="191c21"/>
          <w:sz w:val="22"/>
          <w:szCs w:val="22"/>
        </w:rPr>
        <w:t xml:space="preserve">NGINX actúa como punto de entrada único al sistema. Sus responsabilidades son:</w:t>
      </w:r>
    </w:p>
    <w:p>
      <w:pPr>
        <w:pStyle w:val="ListParagraph"/>
        <w:numPr>
          <w:ilvl w:val="0"/>
          <w:numId w:val="2"/>
        </w:numPr>
        <w:spacing w:after="60" w:before="60"/>
      </w:pPr>
      <w:r>
        <w:rPr>
          <w:rFonts w:ascii="Arial" w:cs="Arial" w:eastAsia="Arial" w:hAnsi="Arial"/>
          <w:color w:val="191c21"/>
          <w:sz w:val="22"/>
          <w:szCs w:val="22"/>
        </w:rPr>
        <w:t xml:space="preserve">Servir el frontend estático (HTML, CSS, JS) desde /usr/share/nginx/html</w:t>
      </w:r>
    </w:p>
    <w:p>
      <w:pPr>
        <w:pStyle w:val="ListParagraph"/>
        <w:numPr>
          <w:ilvl w:val="0"/>
          <w:numId w:val="2"/>
        </w:numPr>
        <w:spacing w:after="60" w:before="60"/>
      </w:pPr>
      <w:r>
        <w:rPr>
          <w:rFonts w:ascii="Arial" w:cs="Arial" w:eastAsia="Arial" w:hAnsi="Arial"/>
          <w:color w:val="191c21"/>
          <w:sz w:val="22"/>
          <w:szCs w:val="22"/>
        </w:rPr>
        <w:t xml:space="preserve">Balancear el tráfico de la API entre las 3 instancias Node.js mediante round-robin</w:t>
      </w:r>
    </w:p>
    <w:p>
      <w:pPr>
        <w:pStyle w:val="ListParagraph"/>
        <w:numPr>
          <w:ilvl w:val="0"/>
          <w:numId w:val="2"/>
        </w:numPr>
        <w:spacing w:after="60" w:before="60"/>
      </w:pPr>
      <w:r>
        <w:rPr>
          <w:rFonts w:ascii="Arial" w:cs="Arial" w:eastAsia="Arial" w:hAnsi="Arial"/>
          <w:color w:val="191c21"/>
          <w:sz w:val="22"/>
          <w:szCs w:val="22"/>
        </w:rPr>
        <w:t xml:space="preserve">Servir los archivos subidos por usuarios desde el volumen compartido</w:t>
      </w:r>
    </w:p>
    <w:p>
      <w:pPr>
        <w:pStyle w:val="ListParagraph"/>
        <w:numPr>
          <w:ilvl w:val="0"/>
          <w:numId w:val="2"/>
        </w:numPr>
        <w:spacing w:after="60" w:before="60"/>
      </w:pPr>
      <w:r>
        <w:rPr>
          <w:rFonts w:ascii="Arial" w:cs="Arial" w:eastAsia="Arial" w:hAnsi="Arial"/>
          <w:color w:val="191c21"/>
          <w:sz w:val="22"/>
          <w:szCs w:val="22"/>
        </w:rPr>
        <w:t xml:space="preserve">Gestionar el tamaño máximo de carga de archivos (client_max_body_size 10M)</w:t>
      </w:r>
    </w:p>
    <w:p>
      <w:pPr>
        <w:pStyle w:val="ListParagraph"/>
        <w:numPr>
          <w:ilvl w:val="0"/>
          <w:numId w:val="2"/>
        </w:numPr>
        <w:spacing w:after="60" w:before="60"/>
      </w:pPr>
      <w:r>
        <w:rPr>
          <w:rFonts w:ascii="Arial" w:cs="Arial" w:eastAsia="Arial" w:hAnsi="Arial"/>
          <w:color w:val="191c21"/>
          <w:sz w:val="22"/>
          <w:szCs w:val="22"/>
        </w:rPr>
        <w:t xml:space="preserve">Asignar los tipos MIME correctos para la descarga de archivos</w:t>
      </w:r>
    </w:p>
    <w:p>
      <w:pPr>
        <w:spacing w:after="100" w:before="100"/>
      </w:pPr>
      <w:r>
        <w:t xml:space="preserve"/>
      </w:r>
    </w:p>
    <w:p>
      <w:pPr>
        <w:pStyle w:val="Heading2"/>
        <w:spacing w:after="160" w:before="300"/>
      </w:pPr>
      <w:r>
        <w:rPr>
          <w:rFonts w:ascii="Arial" w:cs="Arial" w:eastAsia="Arial" w:hAnsi="Arial"/>
          <w:b/>
          <w:bCs/>
          <w:color w:val="003f87"/>
          <w:sz w:val="26"/>
          <w:szCs w:val="26"/>
        </w:rPr>
        <w:t xml:space="preserve">6.2 Configuración de Balanceo</w:t>
      </w:r>
    </w:p>
    <w:p>
      <w:pPr>
        <w:spacing w:after="100" w:before="100"/>
      </w:pPr>
      <w:r>
        <w:t xml:space="preserve"/>
      </w:r>
    </w:p>
    <w:p>
      <w:pPr>
        <w:shd w:fill="1E1E1E" w:val="clear"/>
        <w:spacing w:after="60" w:before="60"/>
        <w:ind w:left="360"/>
      </w:pPr>
      <w:r>
        <w:rPr>
          <w:rFonts w:ascii="Courier New" w:cs="Courier New" w:eastAsia="Courier New" w:hAnsi="Courier New"/>
          <w:color w:val="00FF41"/>
          <w:sz w:val="18"/>
          <w:szCs w:val="18"/>
        </w:rPr>
        <w:t xml:space="preserve">upstream backend {</w:t>
      </w:r>
    </w:p>
    <w:p>
      <w:pPr>
        <w:shd w:fill="1E1E1E" w:val="clear"/>
        <w:spacing w:after="60" w:before="60"/>
        <w:ind w:left="360"/>
      </w:pPr>
      <w:r>
        <w:rPr>
          <w:rFonts w:ascii="Courier New" w:cs="Courier New" w:eastAsia="Courier New" w:hAnsi="Courier New"/>
          <w:color w:val="00FF41"/>
          <w:sz w:val="18"/>
          <w:szCs w:val="18"/>
        </w:rPr>
        <w:t xml:space="preserve">    server api_1:3000;</w:t>
      </w:r>
    </w:p>
    <w:p>
      <w:pPr>
        <w:shd w:fill="1E1E1E" w:val="clear"/>
        <w:spacing w:after="60" w:before="60"/>
        <w:ind w:left="360"/>
      </w:pPr>
      <w:r>
        <w:rPr>
          <w:rFonts w:ascii="Courier New" w:cs="Courier New" w:eastAsia="Courier New" w:hAnsi="Courier New"/>
          <w:color w:val="00FF41"/>
          <w:sz w:val="18"/>
          <w:szCs w:val="18"/>
        </w:rPr>
        <w:t xml:space="preserve">    server api_2:3000;</w:t>
      </w:r>
    </w:p>
    <w:p>
      <w:pPr>
        <w:shd w:fill="1E1E1E" w:val="clear"/>
        <w:spacing w:after="60" w:before="60"/>
        <w:ind w:left="360"/>
      </w:pPr>
      <w:r>
        <w:rPr>
          <w:rFonts w:ascii="Courier New" w:cs="Courier New" w:eastAsia="Courier New" w:hAnsi="Courier New"/>
          <w:color w:val="00FF41"/>
          <w:sz w:val="18"/>
          <w:szCs w:val="18"/>
        </w:rPr>
        <w:t xml:space="preserve">    server api_3:3000;</w:t>
      </w:r>
    </w:p>
    <w:p>
      <w:pPr>
        <w:shd w:fill="1E1E1E" w:val="clear"/>
        <w:spacing w:after="60" w:before="60"/>
        <w:ind w:left="360"/>
      </w:pPr>
      <w:r>
        <w:rPr>
          <w:rFonts w:ascii="Courier New" w:cs="Courier New" w:eastAsia="Courier New" w:hAnsi="Courier New"/>
          <w:color w:val="00FF41"/>
          <w:sz w:val="18"/>
          <w:szCs w:val="18"/>
        </w:rPr>
        <w:t xml:space="preserve">}</w:t>
      </w:r>
    </w:p>
    <w:p>
      <w:pPr>
        <w:spacing w:after="100" w:before="100"/>
      </w:pPr>
      <w:r>
        <w:t xml:space="preserve"/>
      </w:r>
    </w:p>
    <w:p>
      <w:pPr>
        <w:spacing w:after="100" w:before="100"/>
      </w:pPr>
      <w:r>
        <w:rPr>
          <w:rFonts w:ascii="Arial" w:cs="Arial" w:eastAsia="Arial" w:hAnsi="Arial"/>
          <w:color w:val="191c21"/>
          <w:sz w:val="22"/>
          <w:szCs w:val="22"/>
        </w:rPr>
        <w:t xml:space="preserve">El algoritmo round-robin distribuye las peticiones de forma equitativa entre las 3 instancias. Si una instancia no responde, NGINX la marca como inactiva y redirige el tráfico a las disponibles.</w:t>
      </w:r>
    </w:p>
    <w:p>
      <w:pPr>
        <w:spacing w:after="100" w:before="100"/>
      </w:pPr>
      <w:r>
        <w:t xml:space="preserve"/>
      </w:r>
    </w:p>
    <w:p>
      <w:pPr>
        <w:pStyle w:val="Heading2"/>
        <w:spacing w:after="160" w:before="300"/>
      </w:pPr>
      <w:r>
        <w:rPr>
          <w:rFonts w:ascii="Arial" w:cs="Arial" w:eastAsia="Arial" w:hAnsi="Arial"/>
          <w:b/>
          <w:bCs/>
          <w:color w:val="003f87"/>
          <w:sz w:val="26"/>
          <w:szCs w:val="26"/>
        </w:rPr>
        <w:t xml:space="preserve">6.3 Rutas Configuradas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3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Destino</w:t>
            </w:r>
          </w:p>
        </w:tc>
        <w:tc>
          <w:tcPr>
            <w:tcW w:type="dxa" w:w="436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rPr>
          <w:tblHeader w:val="false"/>
        </w:trPr>
        <w:tc>
          <w:tcPr>
            <w:tcW w:type="dxa" w:w="2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w:t>
            </w:r>
          </w:p>
        </w:tc>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/usr/share/nginx/html</w:t>
            </w:r>
          </w:p>
        </w:tc>
        <w:tc>
          <w:tcPr>
            <w:tcW w:type="dxa" w:w="4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Frontend estático con fallback a index.html</w:t>
            </w:r>
          </w:p>
        </w:tc>
      </w:tr>
      <w:tr>
        <w:trPr>
          <w:tblHeader w:val="false"/>
        </w:trPr>
        <w:tc>
          <w:tcPr>
            <w:tcW w:type="dxa" w:w="2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w:t>
            </w:r>
          </w:p>
        </w:tc>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http://backend</w:t>
            </w:r>
          </w:p>
        </w:tc>
        <w:tc>
          <w:tcPr>
            <w:tcW w:type="dxa" w:w="4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Proxy a las instancias Node.js</w:t>
            </w:r>
          </w:p>
        </w:tc>
      </w:tr>
      <w:tr>
        <w:trPr>
          <w:tblHeader w:val="false"/>
        </w:trPr>
        <w:tc>
          <w:tcPr>
            <w:tcW w:type="dxa" w:w="2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/uploads/</w:t>
            </w:r>
          </w:p>
        </w:tc>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/usr/share/nginx/uploads/</w:t>
            </w:r>
          </w:p>
        </w:tc>
        <w:tc>
          <w:tcPr>
            <w:tcW w:type="dxa" w:w="4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Archivos subidos con headers MIME correctos</w:t>
            </w:r>
          </w:p>
        </w:tc>
      </w:tr>
      <w:tr>
        <w:trPr>
          <w:tblHeader w:val="false"/>
        </w:trPr>
        <w:tc>
          <w:tcPr>
            <w:tcW w:type="dxa" w:w="2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/health</w:t>
            </w:r>
          </w:p>
        </w:tc>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http://backend</w:t>
            </w:r>
          </w:p>
        </w:tc>
        <w:tc>
          <w:tcPr>
            <w:tcW w:type="dxa" w:w="4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Endpoint de salud del sistema</w:t>
            </w:r>
          </w:p>
        </w:tc>
      </w:tr>
    </w:tbl>
    <w:p>
      <w:r>
        <w:br w:type="page"/>
      </w:r>
    </w:p>
    <w:p>
      <w:pPr>
        <w:pStyle w:val="Heading1"/>
        <w:pBdr>
          <w:bottom w:val="single" w:color="003f87" w:sz="6" w:space="4"/>
        </w:pBdr>
        <w:spacing w:after="200" w:before="400"/>
      </w:pPr>
      <w:r>
        <w:rPr>
          <w:rFonts w:ascii="Arial" w:cs="Arial" w:eastAsia="Arial" w:hAnsi="Arial"/>
          <w:b/>
          <w:bCs/>
          <w:color w:val="003f87"/>
          <w:sz w:val="32"/>
          <w:szCs w:val="32"/>
        </w:rPr>
        <w:t xml:space="preserve">7. Alta Disponibilidad</w:t>
      </w:r>
    </w:p>
    <w:p>
      <w:pPr>
        <w:pStyle w:val="Heading2"/>
        <w:spacing w:after="160" w:before="300"/>
      </w:pPr>
      <w:r>
        <w:rPr>
          <w:rFonts w:ascii="Arial" w:cs="Arial" w:eastAsia="Arial" w:hAnsi="Arial"/>
          <w:b/>
          <w:bCs/>
          <w:color w:val="003f87"/>
          <w:sz w:val="26"/>
          <w:szCs w:val="26"/>
        </w:rPr>
        <w:t xml:space="preserve">7.1 Nivel de Aplicación</w:t>
      </w:r>
    </w:p>
    <w:p>
      <w:pPr>
        <w:spacing w:after="100" w:before="100"/>
      </w:pPr>
      <w:r>
        <w:rPr>
          <w:rFonts w:ascii="Arial" w:cs="Arial" w:eastAsia="Arial" w:hAnsi="Arial"/>
          <w:color w:val="191c21"/>
          <w:sz w:val="22"/>
          <w:szCs w:val="22"/>
        </w:rPr>
        <w:t xml:space="preserve">El backend corre en 3 contenedores independientes (api_1, api_2, api_3). Si uno falla, NGINX redirige automáticamente el tráfico a los restantes. Todos los contenedores están configurados con restart: unless-stopped para recuperación automática.</w:t>
      </w:r>
    </w:p>
    <w:p>
      <w:pPr>
        <w:spacing w:after="100" w:before="100"/>
      </w:pPr>
      <w:r>
        <w:t xml:space="preserve"/>
      </w:r>
    </w:p>
    <w:p>
      <w:pPr>
        <w:spacing w:after="100" w:before="100"/>
      </w:pPr>
      <w:r>
        <w:rPr>
          <w:rFonts w:ascii="Arial" w:cs="Arial" w:eastAsia="Arial" w:hAnsi="Arial"/>
          <w:color w:val="191c21"/>
          <w:sz w:val="22"/>
          <w:szCs w:val="22"/>
        </w:rPr>
        <w:t xml:space="preserve">Las 3 instancias comparten el mismo volumen de uploads (uploads_data) para garantizar que los archivos subidos por cualquier instancia sean accesibles desde todas las demás.</w:t>
      </w:r>
    </w:p>
    <w:p>
      <w:pPr>
        <w:spacing w:after="100" w:before="100"/>
      </w:pPr>
      <w:r>
        <w:t xml:space="preserve"/>
      </w:r>
    </w:p>
    <w:p>
      <w:pPr>
        <w:pStyle w:val="Heading2"/>
        <w:spacing w:after="160" w:before="300"/>
      </w:pPr>
      <w:r>
        <w:rPr>
          <w:rFonts w:ascii="Arial" w:cs="Arial" w:eastAsia="Arial" w:hAnsi="Arial"/>
          <w:b/>
          <w:bCs/>
          <w:color w:val="003f87"/>
          <w:sz w:val="26"/>
          <w:szCs w:val="26"/>
        </w:rPr>
        <w:t xml:space="preserve">7.2 Nivel de Base de Datos</w:t>
      </w:r>
    </w:p>
    <w:p>
      <w:pPr>
        <w:spacing w:after="100" w:before="100"/>
      </w:pPr>
      <w:r>
        <w:rPr>
          <w:rFonts w:ascii="Arial" w:cs="Arial" w:eastAsia="Arial" w:hAnsi="Arial"/>
          <w:color w:val="191c21"/>
          <w:sz w:val="22"/>
          <w:szCs w:val="22"/>
        </w:rPr>
        <w:t xml:space="preserve">La replicación streaming de PostgreSQL garantiza que los datos del master estén disponibles en el replica en tiempo casi real. Ante un fallo del master, el replica puede asumir el rol de master con mínima interrupción del servicio.</w:t>
      </w:r>
    </w:p>
    <w:p>
      <w:pPr>
        <w:spacing w:after="100" w:before="100"/>
      </w:pPr>
      <w:r>
        <w:t xml:space="preserve"/>
      </w:r>
    </w:p>
    <w:p>
      <w:pPr>
        <w:pStyle w:val="Heading2"/>
        <w:spacing w:after="160" w:before="300"/>
      </w:pPr>
      <w:r>
        <w:rPr>
          <w:rFonts w:ascii="Arial" w:cs="Arial" w:eastAsia="Arial" w:hAnsi="Arial"/>
          <w:b/>
          <w:bCs/>
          <w:color w:val="003f87"/>
          <w:sz w:val="26"/>
          <w:szCs w:val="26"/>
        </w:rPr>
        <w:t xml:space="preserve">7.3 Nivel de Red</w:t>
      </w:r>
    </w:p>
    <w:p>
      <w:pPr>
        <w:spacing w:after="100" w:before="100"/>
      </w:pPr>
      <w:r>
        <w:rPr>
          <w:rFonts w:ascii="Arial" w:cs="Arial" w:eastAsia="Arial" w:hAnsi="Arial"/>
          <w:color w:val="191c21"/>
          <w:sz w:val="22"/>
          <w:szCs w:val="22"/>
        </w:rPr>
        <w:t xml:space="preserve">ngrok proporciona un tunnel HTTPS estable hacia el servicio. Si la conexión se interrumpe, ngrok reconecta automáticamente. Para producción se recomienda Cloudflare Tunnel como alternativa con mayor disponibilidad.</w:t>
      </w:r>
    </w:p>
    <w:p>
      <w:pPr>
        <w:spacing w:after="100" w:before="100"/>
      </w:pPr>
      <w:r>
        <w:t xml:space="preserve"/>
      </w:r>
    </w:p>
    <w:p>
      <w:pPr>
        <w:pStyle w:val="Heading2"/>
        <w:spacing w:after="160" w:before="300"/>
      </w:pPr>
      <w:r>
        <w:rPr>
          <w:rFonts w:ascii="Arial" w:cs="Arial" w:eastAsia="Arial" w:hAnsi="Arial"/>
          <w:b/>
          <w:bCs/>
          <w:color w:val="003f87"/>
          <w:sz w:val="26"/>
          <w:szCs w:val="26"/>
        </w:rPr>
        <w:t xml:space="preserve">7.4 Resumen de SLAs Implementados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tcW w:type="dxa" w:w="4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Estrategia HA</w:t>
            </w:r>
          </w:p>
        </w:tc>
        <w:tc>
          <w:tcPr>
            <w:tcW w:type="dxa" w:w="286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Tiempo de Recuperación</w:t>
            </w:r>
          </w:p>
        </w:tc>
      </w:tr>
      <w:tr>
        <w:trPr>
          <w:tblHeader w:val="false"/>
        </w:trPr>
        <w:tc>
          <w:tcPr>
            <w:tcW w:type="dxa" w:w="25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 Backend</w:t>
            </w:r>
          </w:p>
        </w:tc>
        <w:tc>
          <w:tcPr>
            <w:tcW w:type="dxa" w:w="4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3 instancias + round-robin NGINX</w:t>
            </w:r>
          </w:p>
        </w:tc>
        <w:tc>
          <w:tcPr>
            <w:tcW w:type="dxa" w:w="28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&lt; 1 segundo (automático)</w:t>
            </w:r>
          </w:p>
        </w:tc>
      </w:tr>
      <w:tr>
        <w:trPr>
          <w:tblHeader w:val="false"/>
        </w:trPr>
        <w:tc>
          <w:tcPr>
            <w:tcW w:type="dxa" w:w="25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Base de Datos</w:t>
            </w:r>
          </w:p>
        </w:tc>
        <w:tc>
          <w:tcPr>
            <w:tcW w:type="dxa" w:w="4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Master + Replica streaming</w:t>
            </w:r>
          </w:p>
        </w:tc>
        <w:tc>
          <w:tcPr>
            <w:tcW w:type="dxa" w:w="28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&lt; 5 minutos (manual)</w:t>
            </w:r>
          </w:p>
        </w:tc>
      </w:tr>
      <w:tr>
        <w:trPr>
          <w:tblHeader w:val="false"/>
        </w:trPr>
        <w:tc>
          <w:tcPr>
            <w:tcW w:type="dxa" w:w="25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Contenedores</w:t>
            </w:r>
          </w:p>
        </w:tc>
        <w:tc>
          <w:tcPr>
            <w:tcW w:type="dxa" w:w="4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restart: unless-stopped</w:t>
            </w:r>
          </w:p>
        </w:tc>
        <w:tc>
          <w:tcPr>
            <w:tcW w:type="dxa" w:w="28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&lt; 30 segundos (automático)</w:t>
            </w:r>
          </w:p>
        </w:tc>
      </w:tr>
      <w:tr>
        <w:trPr>
          <w:tblHeader w:val="false"/>
        </w:trPr>
        <w:tc>
          <w:tcPr>
            <w:tcW w:type="dxa" w:w="25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Red</w:t>
            </w:r>
          </w:p>
        </w:tc>
        <w:tc>
          <w:tcPr>
            <w:tcW w:type="dxa" w:w="4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ngrok reconexión automática</w:t>
            </w:r>
          </w:p>
        </w:tc>
        <w:tc>
          <w:tcPr>
            <w:tcW w:type="dxa" w:w="28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&lt; 10 segundos (automático)</w:t>
            </w:r>
          </w:p>
        </w:tc>
      </w:tr>
    </w:tbl>
    <w:p>
      <w:r>
        <w:br w:type="page"/>
      </w:r>
    </w:p>
    <w:p>
      <w:pPr>
        <w:pStyle w:val="Heading1"/>
        <w:pBdr>
          <w:bottom w:val="single" w:color="003f87" w:sz="6" w:space="4"/>
        </w:pBdr>
        <w:spacing w:after="200" w:before="400"/>
      </w:pPr>
      <w:r>
        <w:rPr>
          <w:rFonts w:ascii="Arial" w:cs="Arial" w:eastAsia="Arial" w:hAnsi="Arial"/>
          <w:b/>
          <w:bCs/>
          <w:color w:val="003f87"/>
          <w:sz w:val="32"/>
          <w:szCs w:val="32"/>
        </w:rPr>
        <w:t xml:space="preserve">8. Chaos Engineering</w:t>
      </w:r>
    </w:p>
    <w:p>
      <w:pPr>
        <w:spacing w:after="100" w:before="100"/>
      </w:pPr>
      <w:r>
        <w:rPr>
          <w:rFonts w:ascii="Arial" w:cs="Arial" w:eastAsia="Arial" w:hAnsi="Arial"/>
          <w:color w:val="191c21"/>
          <w:sz w:val="22"/>
          <w:szCs w:val="22"/>
        </w:rPr>
        <w:t xml:space="preserve">Se implementaron pruebas de resiliencia para validar el comportamiento del sistema ante fallos controlados, siguiendo los principios de Chaos Engineering.</w:t>
      </w:r>
    </w:p>
    <w:p>
      <w:pPr>
        <w:spacing w:after="100" w:before="100"/>
      </w:pPr>
      <w:r>
        <w:t xml:space="preserve"/>
      </w:r>
    </w:p>
    <w:p>
      <w:pPr>
        <w:pStyle w:val="Heading2"/>
        <w:spacing w:after="160" w:before="300"/>
      </w:pPr>
      <w:r>
        <w:rPr>
          <w:rFonts w:ascii="Arial" w:cs="Arial" w:eastAsia="Arial" w:hAnsi="Arial"/>
          <w:b/>
          <w:bCs/>
          <w:color w:val="003f87"/>
          <w:sz w:val="26"/>
          <w:szCs w:val="26"/>
        </w:rPr>
        <w:t xml:space="preserve">8.1 Prueba 1 — Caída de Instancia API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636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Detalle</w:t>
            </w:r>
          </w:p>
        </w:tc>
      </w:tr>
      <w:tr>
        <w:trPr>
          <w:tblHeader w:val="false"/>
        </w:trPr>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Objetivo</w:t>
            </w:r>
          </w:p>
        </w:tc>
        <w:tc>
          <w:tcPr>
            <w:tcW w:type="dxa" w:w="6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Verificar que el servicio continúa ante la pérdida de una instancia del backend</w:t>
            </w:r>
          </w:p>
        </w:tc>
      </w:tr>
      <w:tr>
        <w:trPr>
          <w:tblHeader w:val="false"/>
        </w:trPr>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Comando</w:t>
            </w:r>
          </w:p>
        </w:tc>
        <w:tc>
          <w:tcPr>
            <w:tcW w:type="dxa" w:w="6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docker rm -f unishare_api_1</w:t>
            </w:r>
          </w:p>
        </w:tc>
      </w:tr>
      <w:tr>
        <w:trPr>
          <w:tblHeader w:val="false"/>
        </w:trPr>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Monitoreo</w:t>
            </w:r>
          </w:p>
        </w:tc>
        <w:tc>
          <w:tcPr>
            <w:tcW w:type="dxa" w:w="6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while true; do curl -s http://localhost/health; sleep 0.5; done</w:t>
            </w:r>
          </w:p>
        </w:tc>
      </w:tr>
      <w:tr>
        <w:trPr>
          <w:tblHeader w:val="false"/>
        </w:trPr>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Resultado</w:t>
            </w:r>
          </w:p>
        </w:tc>
        <w:tc>
          <w:tcPr>
            <w:tcW w:type="dxa" w:w="6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El servicio continuó respondiendo con api_2 y api_3 sin interrupción perceptible</w:t>
            </w:r>
          </w:p>
        </w:tc>
      </w:tr>
      <w:tr>
        <w:trPr>
          <w:tblHeader w:val="false"/>
        </w:trPr>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Tiempo de detección</w:t>
            </w:r>
          </w:p>
        </w:tc>
        <w:tc>
          <w:tcPr>
            <w:tcW w:type="dxa" w:w="6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~60 segundos (NGINX detecta el fallo y deja de enviar tráfico)</w:t>
            </w:r>
          </w:p>
        </w:tc>
      </w:tr>
      <w:tr>
        <w:trPr>
          <w:tblHeader w:val="false"/>
        </w:trPr>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Recuperación</w:t>
            </w:r>
          </w:p>
        </w:tc>
        <w:tc>
          <w:tcPr>
            <w:tcW w:type="dxa" w:w="6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docker compose -f infra/docker-compose.yml up -d api_1</w:t>
            </w:r>
          </w:p>
        </w:tc>
      </w:tr>
    </w:tbl>
    <w:p>
      <w:pPr>
        <w:spacing w:after="100" w:before="100"/>
      </w:pPr>
      <w:r>
        <w:t xml:space="preserve"/>
      </w:r>
    </w:p>
    <w:p>
      <w:pPr>
        <w:pStyle w:val="Heading2"/>
        <w:spacing w:after="160" w:before="300"/>
      </w:pPr>
      <w:r>
        <w:rPr>
          <w:rFonts w:ascii="Arial" w:cs="Arial" w:eastAsia="Arial" w:hAnsi="Arial"/>
          <w:b/>
          <w:bCs/>
          <w:color w:val="003f87"/>
          <w:sz w:val="26"/>
          <w:szCs w:val="26"/>
        </w:rPr>
        <w:t xml:space="preserve">8.2 Prueba 2 — Saturación de Disco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636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Detalle</w:t>
            </w:r>
          </w:p>
        </w:tc>
      </w:tr>
      <w:tr>
        <w:trPr>
          <w:tblHeader w:val="false"/>
        </w:trPr>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Objetivo</w:t>
            </w:r>
          </w:p>
        </w:tc>
        <w:tc>
          <w:tcPr>
            <w:tcW w:type="dxa" w:w="6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Verificar el comportamiento del sistema al saturar el almacenamiento</w:t>
            </w:r>
          </w:p>
        </w:tc>
      </w:tr>
      <w:tr>
        <w:trPr>
          <w:tblHeader w:val="false"/>
        </w:trPr>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Comando</w:t>
            </w:r>
          </w:p>
        </w:tc>
        <w:tc>
          <w:tcPr>
            <w:tcW w:type="dxa" w:w="6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fallocate -l 5G /tmp/archivo_prueba</w:t>
            </w:r>
          </w:p>
        </w:tc>
      </w:tr>
      <w:tr>
        <w:trPr>
          <w:tblHeader w:val="false"/>
        </w:trPr>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Resultado</w:t>
            </w:r>
          </w:p>
        </w:tc>
        <w:tc>
          <w:tcPr>
            <w:tcW w:type="dxa" w:w="6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El sistema detectó la saturación; Netdata generó alerta de almacenamiento</w:t>
            </w:r>
          </w:p>
        </w:tc>
      </w:tr>
      <w:tr>
        <w:trPr>
          <w:tblHeader w:val="false"/>
        </w:trPr>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Recuperación</w:t>
            </w:r>
          </w:p>
        </w:tc>
        <w:tc>
          <w:tcPr>
            <w:tcW w:type="dxa" w:w="6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rm /tmp/archivo_prueba</w:t>
            </w:r>
          </w:p>
        </w:tc>
      </w:tr>
    </w:tbl>
    <w:p>
      <w:pPr>
        <w:spacing w:after="100" w:before="100"/>
      </w:pPr>
      <w:r>
        <w:t xml:space="preserve"/>
      </w:r>
    </w:p>
    <w:p>
      <w:pPr>
        <w:pStyle w:val="Heading2"/>
        <w:spacing w:after="160" w:before="300"/>
      </w:pPr>
      <w:r>
        <w:rPr>
          <w:rFonts w:ascii="Arial" w:cs="Arial" w:eastAsia="Arial" w:hAnsi="Arial"/>
          <w:b/>
          <w:bCs/>
          <w:color w:val="003f87"/>
          <w:sz w:val="26"/>
          <w:szCs w:val="26"/>
        </w:rPr>
        <w:t xml:space="preserve">8.3 Prueba 3 — Verificación de Replicación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636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Detalle</w:t>
            </w:r>
          </w:p>
        </w:tc>
      </w:tr>
      <w:tr>
        <w:trPr>
          <w:tblHeader w:val="false"/>
        </w:trPr>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Objetivo</w:t>
            </w:r>
          </w:p>
        </w:tc>
        <w:tc>
          <w:tcPr>
            <w:tcW w:type="dxa" w:w="6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Confirmar que los datos escritos en el master se replican al replica</w:t>
            </w:r>
          </w:p>
        </w:tc>
      </w:tr>
      <w:tr>
        <w:trPr>
          <w:tblHeader w:val="false"/>
        </w:trPr>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Comando escritura</w:t>
            </w:r>
          </w:p>
        </w:tc>
        <w:tc>
          <w:tcPr>
            <w:tcW w:type="dxa" w:w="6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INSERT INTO materias VALUES ('Test Replicacion', 'Prueba')</w:t>
            </w:r>
          </w:p>
        </w:tc>
      </w:tr>
      <w:tr>
        <w:trPr>
          <w:tblHeader w:val="false"/>
        </w:trPr>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Comando verificación</w:t>
            </w:r>
          </w:p>
        </w:tc>
        <w:tc>
          <w:tcPr>
            <w:tcW w:type="dxa" w:w="6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SELECT * FROM materias WHERE nombre = 'Test Replicacion' (en replica)</w:t>
            </w:r>
          </w:p>
        </w:tc>
      </w:tr>
      <w:tr>
        <w:trPr>
          <w:tblHeader w:val="false"/>
        </w:trPr>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Resultado</w:t>
            </w:r>
          </w:p>
        </w:tc>
        <w:tc>
          <w:tcPr>
            <w:tcW w:type="dxa" w:w="6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Dato disponible en la replica en menos de 1 segundo</w:t>
            </w:r>
          </w:p>
        </w:tc>
      </w:tr>
    </w:tbl>
    <w:p>
      <w:r>
        <w:br w:type="page"/>
      </w:r>
    </w:p>
    <w:p>
      <w:pPr>
        <w:pStyle w:val="Heading1"/>
        <w:pBdr>
          <w:bottom w:val="single" w:color="003f87" w:sz="6" w:space="4"/>
        </w:pBdr>
        <w:spacing w:after="200" w:before="400"/>
      </w:pPr>
      <w:r>
        <w:rPr>
          <w:rFonts w:ascii="Arial" w:cs="Arial" w:eastAsia="Arial" w:hAnsi="Arial"/>
          <w:b/>
          <w:bCs/>
          <w:color w:val="003f87"/>
          <w:sz w:val="32"/>
          <w:szCs w:val="32"/>
        </w:rPr>
        <w:t xml:space="preserve">9. Monitoreo con Netdata</w:t>
      </w:r>
    </w:p>
    <w:p>
      <w:pPr>
        <w:spacing w:after="100" w:before="100"/>
      </w:pPr>
      <w:r>
        <w:rPr>
          <w:rFonts w:ascii="Arial" w:cs="Arial" w:eastAsia="Arial" w:hAnsi="Arial"/>
          <w:color w:val="191c21"/>
          <w:sz w:val="22"/>
          <w:szCs w:val="22"/>
        </w:rPr>
        <w:t xml:space="preserve">Netdata se despliega como contenedor Docker y recopila métricas del sistema host y de los contenedores en tiempo real con resolución de 1 segundo.</w:t>
      </w:r>
    </w:p>
    <w:p>
      <w:pPr>
        <w:spacing w:after="100" w:before="100"/>
      </w:pPr>
      <w:r>
        <w:t xml:space="preserve"/>
      </w:r>
    </w:p>
    <w:p>
      <w:pPr>
        <w:pStyle w:val="Heading2"/>
        <w:spacing w:after="160" w:before="300"/>
      </w:pPr>
      <w:r>
        <w:rPr>
          <w:rFonts w:ascii="Arial" w:cs="Arial" w:eastAsia="Arial" w:hAnsi="Arial"/>
          <w:b/>
          <w:bCs/>
          <w:color w:val="003f87"/>
          <w:sz w:val="26"/>
          <w:szCs w:val="26"/>
        </w:rPr>
        <w:t xml:space="preserve">9.1 Acceso</w:t>
      </w:r>
    </w:p>
    <w:p>
      <w:pPr>
        <w:pStyle w:val="ListParagraph"/>
        <w:numPr>
          <w:ilvl w:val="0"/>
          <w:numId w:val="2"/>
        </w:numPr>
        <w:spacing w:after="60" w:before="60"/>
      </w:pPr>
      <w:r>
        <w:rPr>
          <w:rFonts w:ascii="Arial" w:cs="Arial" w:eastAsia="Arial" w:hAnsi="Arial"/>
          <w:color w:val="191c21"/>
          <w:sz w:val="22"/>
          <w:szCs w:val="22"/>
        </w:rPr>
        <w:t xml:space="preserve">URL local: http://192.168.56.101:19999</w:t>
      </w:r>
    </w:p>
    <w:p>
      <w:pPr>
        <w:pStyle w:val="ListParagraph"/>
        <w:numPr>
          <w:ilvl w:val="0"/>
          <w:numId w:val="2"/>
        </w:numPr>
        <w:spacing w:after="60" w:before="60"/>
      </w:pPr>
      <w:r>
        <w:rPr>
          <w:rFonts w:ascii="Arial" w:cs="Arial" w:eastAsia="Arial" w:hAnsi="Arial"/>
          <w:color w:val="191c21"/>
          <w:sz w:val="22"/>
          <w:szCs w:val="22"/>
        </w:rPr>
        <w:t xml:space="preserve">Interfaz web interactiva con dashboards preconstruidos</w:t>
      </w:r>
    </w:p>
    <w:p>
      <w:pPr>
        <w:pStyle w:val="ListParagraph"/>
        <w:numPr>
          <w:ilvl w:val="0"/>
          <w:numId w:val="2"/>
        </w:numPr>
        <w:spacing w:after="60" w:before="60"/>
      </w:pPr>
      <w:r>
        <w:rPr>
          <w:rFonts w:ascii="Arial" w:cs="Arial" w:eastAsia="Arial" w:hAnsi="Arial"/>
          <w:color w:val="191c21"/>
          <w:sz w:val="22"/>
          <w:szCs w:val="22"/>
        </w:rPr>
        <w:t xml:space="preserve">Retención de datos: 14 días (Tier 0, resolución 1s)</w:t>
      </w:r>
    </w:p>
    <w:p>
      <w:pPr>
        <w:spacing w:after="100" w:before="100"/>
      </w:pPr>
      <w:r>
        <w:t xml:space="preserve"/>
      </w:r>
    </w:p>
    <w:p>
      <w:pPr>
        <w:pStyle w:val="Heading2"/>
        <w:spacing w:after="160" w:before="300"/>
      </w:pPr>
      <w:r>
        <w:rPr>
          <w:rFonts w:ascii="Arial" w:cs="Arial" w:eastAsia="Arial" w:hAnsi="Arial"/>
          <w:b/>
          <w:bCs/>
          <w:color w:val="003f87"/>
          <w:sz w:val="26"/>
          <w:szCs w:val="26"/>
        </w:rPr>
        <w:t xml:space="preserve">9.2 Métricas Monitoreadas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Categoría</w:t>
            </w:r>
          </w:p>
        </w:tc>
        <w:tc>
          <w:tcPr>
            <w:tcW w:type="dxa" w:w="636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Métricas</w:t>
            </w:r>
          </w:p>
        </w:tc>
      </w:tr>
      <w:tr>
        <w:trPr>
          <w:tblHeader w:val="false"/>
        </w:trPr>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CPU</w:t>
            </w:r>
          </w:p>
        </w:tc>
        <w:tc>
          <w:tcPr>
            <w:tcW w:type="dxa" w:w="6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Uso por núcleo, uso total, iowait, steal</w:t>
            </w:r>
          </w:p>
        </w:tc>
      </w:tr>
      <w:tr>
        <w:trPr>
          <w:tblHeader w:val="false"/>
        </w:trPr>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Memoria</w:t>
            </w:r>
          </w:p>
        </w:tc>
        <w:tc>
          <w:tcPr>
            <w:tcW w:type="dxa" w:w="6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RAM usada/libre, swap, buffers, cache</w:t>
            </w:r>
          </w:p>
        </w:tc>
      </w:tr>
      <w:tr>
        <w:trPr>
          <w:tblHeader w:val="false"/>
        </w:trPr>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Disco</w:t>
            </w:r>
          </w:p>
        </w:tc>
        <w:tc>
          <w:tcPr>
            <w:tcW w:type="dxa" w:w="6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I/O de lectura/escritura, espacio libre por volumen</w:t>
            </w:r>
          </w:p>
        </w:tc>
      </w:tr>
      <w:tr>
        <w:trPr>
          <w:tblHeader w:val="false"/>
        </w:trPr>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Red</w:t>
            </w:r>
          </w:p>
        </w:tc>
        <w:tc>
          <w:tcPr>
            <w:tcW w:type="dxa" w:w="6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Bytes enviados/recibidos, paquetes, errores</w:t>
            </w:r>
          </w:p>
        </w:tc>
      </w:tr>
      <w:tr>
        <w:trPr>
          <w:tblHeader w:val="false"/>
        </w:trPr>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Docker</w:t>
            </w:r>
          </w:p>
        </w:tc>
        <w:tc>
          <w:tcPr>
            <w:tcW w:type="dxa" w:w="6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CPU y memoria por contenedor, estado (running/stopped)</w:t>
            </w:r>
          </w:p>
        </w:tc>
      </w:tr>
      <w:tr>
        <w:trPr>
          <w:tblHeader w:val="false"/>
        </w:trPr>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NGINX</w:t>
            </w:r>
          </w:p>
        </w:tc>
        <w:tc>
          <w:tcPr>
            <w:tcW w:type="dxa" w:w="6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Conexiones activas, requests por segundo, errores 4xx/5xx</w:t>
            </w:r>
          </w:p>
        </w:tc>
      </w:tr>
    </w:tbl>
    <w:p>
      <w:r>
        <w:br w:type="page"/>
      </w:r>
    </w:p>
    <w:p>
      <w:pPr>
        <w:pStyle w:val="Heading1"/>
        <w:pBdr>
          <w:bottom w:val="single" w:color="003f87" w:sz="6" w:space="4"/>
        </w:pBdr>
        <w:spacing w:after="200" w:before="400"/>
      </w:pPr>
      <w:r>
        <w:rPr>
          <w:rFonts w:ascii="Arial" w:cs="Arial" w:eastAsia="Arial" w:hAnsi="Arial"/>
          <w:b/>
          <w:bCs/>
          <w:color w:val="003f87"/>
          <w:sz w:val="32"/>
          <w:szCs w:val="32"/>
        </w:rPr>
        <w:t xml:space="preserve">10. Consideraciones de Seguridad</w:t>
      </w:r>
    </w:p>
    <w:p>
      <w:pPr>
        <w:pStyle w:val="Heading2"/>
        <w:spacing w:after="160" w:before="300"/>
      </w:pPr>
      <w:r>
        <w:rPr>
          <w:rFonts w:ascii="Arial" w:cs="Arial" w:eastAsia="Arial" w:hAnsi="Arial"/>
          <w:b/>
          <w:bCs/>
          <w:color w:val="003f87"/>
          <w:sz w:val="26"/>
          <w:szCs w:val="26"/>
        </w:rPr>
        <w:t xml:space="preserve">10.1 Implementadas</w:t>
      </w:r>
    </w:p>
    <w:p>
      <w:pPr>
        <w:pStyle w:val="ListParagraph"/>
        <w:numPr>
          <w:ilvl w:val="0"/>
          <w:numId w:val="2"/>
        </w:numPr>
        <w:spacing w:after="60" w:before="60"/>
      </w:pPr>
      <w:r>
        <w:rPr>
          <w:rFonts w:ascii="Arial" w:cs="Arial" w:eastAsia="Arial" w:hAnsi="Arial"/>
          <w:color w:val="191c21"/>
          <w:sz w:val="22"/>
          <w:szCs w:val="22"/>
        </w:rPr>
        <w:t xml:space="preserve">Contraseñas hasheadas con bcryptjs (salt rounds: 10)</w:t>
      </w:r>
    </w:p>
    <w:p>
      <w:pPr>
        <w:pStyle w:val="ListParagraph"/>
        <w:numPr>
          <w:ilvl w:val="0"/>
          <w:numId w:val="2"/>
        </w:numPr>
        <w:spacing w:after="60" w:before="60"/>
      </w:pPr>
      <w:r>
        <w:rPr>
          <w:rFonts w:ascii="Arial" w:cs="Arial" w:eastAsia="Arial" w:hAnsi="Arial"/>
          <w:color w:val="191c21"/>
          <w:sz w:val="22"/>
          <w:szCs w:val="22"/>
        </w:rPr>
        <w:t xml:space="preserve">Autenticación JWT con expiración configurable</w:t>
      </w:r>
    </w:p>
    <w:p>
      <w:pPr>
        <w:pStyle w:val="ListParagraph"/>
        <w:numPr>
          <w:ilvl w:val="0"/>
          <w:numId w:val="2"/>
        </w:numPr>
        <w:spacing w:after="60" w:before="60"/>
      </w:pPr>
      <w:r>
        <w:rPr>
          <w:rFonts w:ascii="Arial" w:cs="Arial" w:eastAsia="Arial" w:hAnsi="Arial"/>
          <w:color w:val="191c21"/>
          <w:sz w:val="22"/>
          <w:szCs w:val="22"/>
        </w:rPr>
        <w:t xml:space="preserve">Validación de tipos de archivo en Multer (whitelist de extensiones)</w:t>
      </w:r>
    </w:p>
    <w:p>
      <w:pPr>
        <w:pStyle w:val="ListParagraph"/>
        <w:numPr>
          <w:ilvl w:val="0"/>
          <w:numId w:val="2"/>
        </w:numPr>
        <w:spacing w:after="60" w:before="60"/>
      </w:pPr>
      <w:r>
        <w:rPr>
          <w:rFonts w:ascii="Arial" w:cs="Arial" w:eastAsia="Arial" w:hAnsi="Arial"/>
          <w:color w:val="191c21"/>
          <w:sz w:val="22"/>
          <w:szCs w:val="22"/>
        </w:rPr>
        <w:t xml:space="preserve">Límite de tamaño de archivo (2MB fotos, 10MB materiales)</w:t>
      </w:r>
    </w:p>
    <w:p>
      <w:pPr>
        <w:pStyle w:val="ListParagraph"/>
        <w:numPr>
          <w:ilvl w:val="0"/>
          <w:numId w:val="2"/>
        </w:numPr>
        <w:spacing w:after="60" w:before="60"/>
      </w:pPr>
      <w:r>
        <w:rPr>
          <w:rFonts w:ascii="Arial" w:cs="Arial" w:eastAsia="Arial" w:hAnsi="Arial"/>
          <w:color w:val="191c21"/>
          <w:sz w:val="22"/>
          <w:szCs w:val="22"/>
        </w:rPr>
        <w:t xml:space="preserve">HTTPS forzado mediante tunnel ngrok</w:t>
      </w:r>
    </w:p>
    <w:p>
      <w:pPr>
        <w:pStyle w:val="ListParagraph"/>
        <w:numPr>
          <w:ilvl w:val="0"/>
          <w:numId w:val="2"/>
        </w:numPr>
        <w:spacing w:after="60" w:before="60"/>
      </w:pPr>
      <w:r>
        <w:rPr>
          <w:rFonts w:ascii="Arial" w:cs="Arial" w:eastAsia="Arial" w:hAnsi="Arial"/>
          <w:color w:val="191c21"/>
          <w:sz w:val="22"/>
          <w:szCs w:val="22"/>
        </w:rPr>
        <w:t xml:space="preserve">Variables sensibles en .env (no versionadas en git)</w:t>
      </w:r>
    </w:p>
    <w:p>
      <w:pPr>
        <w:pStyle w:val="ListParagraph"/>
        <w:numPr>
          <w:ilvl w:val="0"/>
          <w:numId w:val="2"/>
        </w:numPr>
        <w:spacing w:after="60" w:before="60"/>
      </w:pPr>
      <w:r>
        <w:rPr>
          <w:rFonts w:ascii="Arial" w:cs="Arial" w:eastAsia="Arial" w:hAnsi="Arial"/>
          <w:color w:val="191c21"/>
          <w:sz w:val="22"/>
          <w:szCs w:val="22"/>
        </w:rPr>
        <w:t xml:space="preserve">Red Docker interna — puertos de API y BD no expuestos al host</w:t>
      </w:r>
    </w:p>
    <w:p>
      <w:pPr>
        <w:spacing w:after="100" w:before="100"/>
      </w:pPr>
      <w:r>
        <w:t xml:space="preserve"/>
      </w:r>
    </w:p>
    <w:p>
      <w:pPr>
        <w:pStyle w:val="Heading2"/>
        <w:spacing w:after="160" w:before="300"/>
      </w:pPr>
      <w:r>
        <w:rPr>
          <w:rFonts w:ascii="Arial" w:cs="Arial" w:eastAsia="Arial" w:hAnsi="Arial"/>
          <w:b/>
          <w:bCs/>
          <w:color w:val="003f87"/>
          <w:sz w:val="26"/>
          <w:szCs w:val="26"/>
        </w:rPr>
        <w:t xml:space="preserve">10.2 Recomendaciones para Producción</w:t>
      </w:r>
    </w:p>
    <w:p>
      <w:pPr>
        <w:pStyle w:val="ListParagraph"/>
        <w:numPr>
          <w:ilvl w:val="0"/>
          <w:numId w:val="2"/>
        </w:numPr>
        <w:spacing w:after="60" w:before="60"/>
      </w:pPr>
      <w:r>
        <w:rPr>
          <w:rFonts w:ascii="Arial" w:cs="Arial" w:eastAsia="Arial" w:hAnsi="Arial"/>
          <w:color w:val="191c21"/>
          <w:sz w:val="22"/>
          <w:szCs w:val="22"/>
        </w:rPr>
        <w:t xml:space="preserve">Implementar rate limiting en la API para prevenir ataques de fuerza bruta</w:t>
      </w:r>
    </w:p>
    <w:p>
      <w:pPr>
        <w:pStyle w:val="ListParagraph"/>
        <w:numPr>
          <w:ilvl w:val="0"/>
          <w:numId w:val="2"/>
        </w:numPr>
        <w:spacing w:after="60" w:before="60"/>
      </w:pPr>
      <w:r>
        <w:rPr>
          <w:rFonts w:ascii="Arial" w:cs="Arial" w:eastAsia="Arial" w:hAnsi="Arial"/>
          <w:color w:val="191c21"/>
          <w:sz w:val="22"/>
          <w:szCs w:val="22"/>
        </w:rPr>
        <w:t xml:space="preserve">Agregar HTTPS con certificado propio (Let's Encrypt + Cloudflare Tunnel)</w:t>
      </w:r>
    </w:p>
    <w:p>
      <w:pPr>
        <w:pStyle w:val="ListParagraph"/>
        <w:numPr>
          <w:ilvl w:val="0"/>
          <w:numId w:val="2"/>
        </w:numPr>
        <w:spacing w:after="60" w:before="60"/>
      </w:pPr>
      <w:r>
        <w:rPr>
          <w:rFonts w:ascii="Arial" w:cs="Arial" w:eastAsia="Arial" w:hAnsi="Arial"/>
          <w:color w:val="191c21"/>
          <w:sz w:val="22"/>
          <w:szCs w:val="22"/>
        </w:rPr>
        <w:t xml:space="preserve">Configurar firewall (ufw) para restringir acceso a puertos innecesarios</w:t>
      </w:r>
    </w:p>
    <w:p>
      <w:pPr>
        <w:pStyle w:val="ListParagraph"/>
        <w:numPr>
          <w:ilvl w:val="0"/>
          <w:numId w:val="2"/>
        </w:numPr>
        <w:spacing w:after="60" w:before="60"/>
      </w:pPr>
      <w:r>
        <w:rPr>
          <w:rFonts w:ascii="Arial" w:cs="Arial" w:eastAsia="Arial" w:hAnsi="Arial"/>
          <w:color w:val="191c21"/>
          <w:sz w:val="22"/>
          <w:szCs w:val="22"/>
        </w:rPr>
        <w:t xml:space="preserve">Implementar rotación automática de tokens JWT</w:t>
      </w:r>
    </w:p>
    <w:p>
      <w:pPr>
        <w:pStyle w:val="ListParagraph"/>
        <w:numPr>
          <w:ilvl w:val="0"/>
          <w:numId w:val="2"/>
        </w:numPr>
        <w:spacing w:after="60" w:before="60"/>
      </w:pPr>
      <w:r>
        <w:rPr>
          <w:rFonts w:ascii="Arial" w:cs="Arial" w:eastAsia="Arial" w:hAnsi="Arial"/>
          <w:color w:val="191c21"/>
          <w:sz w:val="22"/>
          <w:szCs w:val="22"/>
        </w:rPr>
        <w:t xml:space="preserve">Agregar validación de correo institucional en el registro</w:t>
      </w:r>
    </w:p>
    <w:p>
      <w:pPr>
        <w:pStyle w:val="ListParagraph"/>
        <w:numPr>
          <w:ilvl w:val="0"/>
          <w:numId w:val="2"/>
        </w:numPr>
        <w:spacing w:after="60" w:before="60"/>
      </w:pPr>
      <w:r>
        <w:rPr>
          <w:rFonts w:ascii="Arial" w:cs="Arial" w:eastAsia="Arial" w:hAnsi="Arial"/>
          <w:color w:val="191c21"/>
          <w:sz w:val="22"/>
          <w:szCs w:val="22"/>
        </w:rPr>
        <w:t xml:space="preserve">Configurar backups automáticos de PostgreSQL</w:t>
      </w:r>
    </w:p>
    <w:p>
      <w:r>
        <w:br w:type="page"/>
      </w:r>
    </w:p>
    <w:p>
      <w:pPr>
        <w:pStyle w:val="Heading1"/>
        <w:pBdr>
          <w:bottom w:val="single" w:color="003f87" w:sz="6" w:space="4"/>
        </w:pBdr>
        <w:spacing w:after="200" w:before="400"/>
      </w:pPr>
      <w:r>
        <w:rPr>
          <w:rFonts w:ascii="Arial" w:cs="Arial" w:eastAsia="Arial" w:hAnsi="Arial"/>
          <w:b/>
          <w:bCs/>
          <w:color w:val="003f87"/>
          <w:sz w:val="32"/>
          <w:szCs w:val="32"/>
        </w:rPr>
        <w:t xml:space="preserve">11. Guía de Despliegue</w:t>
      </w:r>
    </w:p>
    <w:p>
      <w:pPr>
        <w:pStyle w:val="Heading2"/>
        <w:spacing w:after="160" w:before="300"/>
      </w:pPr>
      <w:r>
        <w:rPr>
          <w:rFonts w:ascii="Arial" w:cs="Arial" w:eastAsia="Arial" w:hAnsi="Arial"/>
          <w:b/>
          <w:bCs/>
          <w:color w:val="003f87"/>
          <w:sz w:val="26"/>
          <w:szCs w:val="26"/>
        </w:rPr>
        <w:t xml:space="preserve">11.1 Requisitos de Hardware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Recurso</w:t>
            </w:r>
          </w:p>
        </w:tc>
        <w:tc>
          <w:tcPr>
            <w:tcW w:type="dxa" w:w="3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Mínimo</w:t>
            </w:r>
          </w:p>
        </w:tc>
        <w:tc>
          <w:tcPr>
            <w:tcW w:type="dxa" w:w="386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Recomendado</w:t>
            </w:r>
          </w:p>
        </w:tc>
      </w:tr>
      <w:tr>
        <w:trPr>
          <w:tblHeader w:val="false"/>
        </w:trPr>
        <w:tc>
          <w:tcPr>
            <w:tcW w:type="dxa" w:w="25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CPU</w:t>
            </w:r>
          </w:p>
        </w:tc>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2 núcleos</w:t>
            </w:r>
          </w:p>
        </w:tc>
        <w:tc>
          <w:tcPr>
            <w:tcW w:type="dxa" w:w="38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4 núcleos</w:t>
            </w:r>
          </w:p>
        </w:tc>
      </w:tr>
      <w:tr>
        <w:trPr>
          <w:tblHeader w:val="false"/>
        </w:trPr>
        <w:tc>
          <w:tcPr>
            <w:tcW w:type="dxa" w:w="25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RAM</w:t>
            </w:r>
          </w:p>
        </w:tc>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4 GB</w:t>
            </w:r>
          </w:p>
        </w:tc>
        <w:tc>
          <w:tcPr>
            <w:tcW w:type="dxa" w:w="38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8 GB</w:t>
            </w:r>
          </w:p>
        </w:tc>
      </w:tr>
      <w:tr>
        <w:trPr>
          <w:tblHeader w:val="false"/>
        </w:trPr>
        <w:tc>
          <w:tcPr>
            <w:tcW w:type="dxa" w:w="25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Almacenamiento</w:t>
            </w:r>
          </w:p>
        </w:tc>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20 GB</w:t>
            </w:r>
          </w:p>
        </w:tc>
        <w:tc>
          <w:tcPr>
            <w:tcW w:type="dxa" w:w="38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50 GB SSD + LVM</w:t>
            </w:r>
          </w:p>
        </w:tc>
      </w:tr>
      <w:tr>
        <w:trPr>
          <w:tblHeader w:val="false"/>
        </w:trPr>
        <w:tc>
          <w:tcPr>
            <w:tcW w:type="dxa" w:w="25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Sistema Operativo</w:t>
            </w:r>
          </w:p>
        </w:tc>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Debian 12</w:t>
            </w:r>
          </w:p>
        </w:tc>
        <w:tc>
          <w:tcPr>
            <w:tcW w:type="dxa" w:w="38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Debian 12</w:t>
            </w:r>
          </w:p>
        </w:tc>
      </w:tr>
    </w:tbl>
    <w:p>
      <w:pPr>
        <w:spacing w:after="100" w:before="100"/>
      </w:pPr>
      <w:r>
        <w:t xml:space="preserve"/>
      </w:r>
    </w:p>
    <w:p>
      <w:pPr>
        <w:pStyle w:val="Heading2"/>
        <w:spacing w:after="160" w:before="300"/>
      </w:pPr>
      <w:r>
        <w:rPr>
          <w:rFonts w:ascii="Arial" w:cs="Arial" w:eastAsia="Arial" w:hAnsi="Arial"/>
          <w:b/>
          <w:bCs/>
          <w:color w:val="003f87"/>
          <w:sz w:val="26"/>
          <w:szCs w:val="26"/>
        </w:rPr>
        <w:t xml:space="preserve">11.2 Pasos de Instalación</w:t>
      </w:r>
    </w:p>
    <w:p>
      <w:pPr>
        <w:spacing w:after="100" w:before="100"/>
      </w:pPr>
      <w:r>
        <w:t xml:space="preserve"/>
      </w:r>
    </w:p>
    <w:p>
      <w:pPr>
        <w:pStyle w:val="ListParagraph"/>
        <w:numPr>
          <w:ilvl w:val="0"/>
          <w:numId w:val="2"/>
        </w:numPr>
        <w:spacing w:after="60" w:before="60"/>
      </w:pPr>
      <w:r>
        <w:rPr>
          <w:rFonts w:ascii="Arial" w:cs="Arial" w:eastAsia="Arial" w:hAnsi="Arial"/>
          <w:b/>
          <w:bCs/>
          <w:color w:val="191c21"/>
          <w:sz w:val="22"/>
          <w:szCs w:val="22"/>
        </w:rPr>
        <w:t xml:space="preserve">Clonar el repositorio:</w:t>
      </w:r>
    </w:p>
    <w:p>
      <w:pPr>
        <w:shd w:fill="1E1E1E" w:val="clear"/>
        <w:spacing w:after="60" w:before="60"/>
        <w:ind w:left="360"/>
      </w:pPr>
      <w:r>
        <w:rPr>
          <w:rFonts w:ascii="Courier New" w:cs="Courier New" w:eastAsia="Courier New" w:hAnsi="Courier New"/>
          <w:color w:val="00FF41"/>
          <w:sz w:val="18"/>
          <w:szCs w:val="18"/>
        </w:rPr>
        <w:t xml:space="preserve">git clone https://github.com/gabolirca/Uni-Share.git</w:t>
      </w:r>
    </w:p>
    <w:p>
      <w:pPr>
        <w:shd w:fill="1E1E1E" w:val="clear"/>
        <w:spacing w:after="60" w:before="60"/>
        <w:ind w:left="360"/>
      </w:pPr>
      <w:r>
        <w:rPr>
          <w:rFonts w:ascii="Courier New" w:cs="Courier New" w:eastAsia="Courier New" w:hAnsi="Courier New"/>
          <w:color w:val="00FF41"/>
          <w:sz w:val="18"/>
          <w:szCs w:val="18"/>
        </w:rPr>
        <w:t xml:space="preserve">cd Uni-Share &amp;&amp; git checkout develop</w:t>
      </w:r>
    </w:p>
    <w:p>
      <w:pPr>
        <w:pStyle w:val="ListParagraph"/>
        <w:numPr>
          <w:ilvl w:val="0"/>
          <w:numId w:val="2"/>
        </w:numPr>
        <w:spacing w:after="60" w:before="120"/>
      </w:pPr>
      <w:r>
        <w:rPr>
          <w:rFonts w:ascii="Arial" w:cs="Arial" w:eastAsia="Arial" w:hAnsi="Arial"/>
          <w:b/>
          <w:bCs/>
          <w:color w:val="191c21"/>
          <w:sz w:val="22"/>
          <w:szCs w:val="22"/>
        </w:rPr>
        <w:t xml:space="preserve">Configurar variables de entorno:</w:t>
      </w:r>
    </w:p>
    <w:p>
      <w:pPr>
        <w:shd w:fill="1E1E1E" w:val="clear"/>
        <w:spacing w:after="60" w:before="60"/>
        <w:ind w:left="360"/>
      </w:pPr>
      <w:r>
        <w:rPr>
          <w:rFonts w:ascii="Courier New" w:cs="Courier New" w:eastAsia="Courier New" w:hAnsi="Courier New"/>
          <w:color w:val="00FF41"/>
          <w:sz w:val="18"/>
          <w:szCs w:val="18"/>
        </w:rPr>
        <w:t xml:space="preserve">cp backend/.env.example backend/.env</w:t>
      </w:r>
    </w:p>
    <w:p>
      <w:pPr>
        <w:shd w:fill="1E1E1E" w:val="clear"/>
        <w:spacing w:after="60" w:before="60"/>
        <w:ind w:left="360"/>
      </w:pPr>
      <w:r>
        <w:rPr>
          <w:rFonts w:ascii="Courier New" w:cs="Courier New" w:eastAsia="Courier New" w:hAnsi="Courier New"/>
          <w:color w:val="00FF41"/>
          <w:sz w:val="18"/>
          <w:szCs w:val="18"/>
        </w:rPr>
        <w:t xml:space="preserve"># Editar backend/.env con valores seguros</w:t>
      </w:r>
    </w:p>
    <w:p>
      <w:pPr>
        <w:pStyle w:val="ListParagraph"/>
        <w:numPr>
          <w:ilvl w:val="0"/>
          <w:numId w:val="2"/>
        </w:numPr>
        <w:spacing w:after="60" w:before="120"/>
      </w:pPr>
      <w:r>
        <w:rPr>
          <w:rFonts w:ascii="Arial" w:cs="Arial" w:eastAsia="Arial" w:hAnsi="Arial"/>
          <w:b/>
          <w:bCs/>
          <w:color w:val="191c21"/>
          <w:sz w:val="22"/>
          <w:szCs w:val="22"/>
        </w:rPr>
        <w:t xml:space="preserve">Levantar la infraestructura:</w:t>
      </w:r>
    </w:p>
    <w:p>
      <w:pPr>
        <w:shd w:fill="1E1E1E" w:val="clear"/>
        <w:spacing w:after="60" w:before="60"/>
        <w:ind w:left="360"/>
      </w:pPr>
      <w:r>
        <w:rPr>
          <w:rFonts w:ascii="Courier New" w:cs="Courier New" w:eastAsia="Courier New" w:hAnsi="Courier New"/>
          <w:color w:val="00FF41"/>
          <w:sz w:val="18"/>
          <w:szCs w:val="18"/>
        </w:rPr>
        <w:t xml:space="preserve">docker compose -f infra/docker-compose.yml up -d</w:t>
      </w:r>
    </w:p>
    <w:p>
      <w:pPr>
        <w:pStyle w:val="ListParagraph"/>
        <w:numPr>
          <w:ilvl w:val="0"/>
          <w:numId w:val="2"/>
        </w:numPr>
        <w:spacing w:after="60" w:before="120"/>
      </w:pPr>
      <w:r>
        <w:rPr>
          <w:rFonts w:ascii="Arial" w:cs="Arial" w:eastAsia="Arial" w:hAnsi="Arial"/>
          <w:b/>
          <w:bCs/>
          <w:color w:val="191c21"/>
          <w:sz w:val="22"/>
          <w:szCs w:val="22"/>
        </w:rPr>
        <w:t xml:space="preserve">Inicializar la base de datos:</w:t>
      </w:r>
    </w:p>
    <w:p>
      <w:pPr>
        <w:shd w:fill="1E1E1E" w:val="clear"/>
        <w:spacing w:after="60" w:before="60"/>
        <w:ind w:left="360"/>
      </w:pPr>
      <w:r>
        <w:rPr>
          <w:rFonts w:ascii="Courier New" w:cs="Courier New" w:eastAsia="Courier New" w:hAnsi="Courier New"/>
          <w:color w:val="00FF41"/>
          <w:sz w:val="18"/>
          <w:szCs w:val="18"/>
        </w:rPr>
        <w:t xml:space="preserve">sleep 10</w:t>
      </w:r>
    </w:p>
    <w:p>
      <w:pPr>
        <w:shd w:fill="1E1E1E" w:val="clear"/>
        <w:spacing w:after="60" w:before="60"/>
        <w:ind w:left="360"/>
      </w:pPr>
      <w:r>
        <w:rPr>
          <w:rFonts w:ascii="Courier New" w:cs="Courier New" w:eastAsia="Courier New" w:hAnsi="Courier New"/>
          <w:color w:val="00FF41"/>
          <w:sz w:val="18"/>
          <w:szCs w:val="18"/>
        </w:rPr>
        <w:t xml:space="preserve">docker exec -i unishare_db_master psql -U unishare_user \</w:t>
      </w:r>
    </w:p>
    <w:p>
      <w:pPr>
        <w:shd w:fill="1E1E1E" w:val="clear"/>
        <w:spacing w:after="60" w:before="60"/>
        <w:ind w:left="360"/>
      </w:pPr>
      <w:r>
        <w:rPr>
          <w:rFonts w:ascii="Courier New" w:cs="Courier New" w:eastAsia="Courier New" w:hAnsi="Courier New"/>
          <w:color w:val="00FF41"/>
          <w:sz w:val="18"/>
          <w:szCs w:val="18"/>
        </w:rPr>
        <w:t xml:space="preserve">  -d unishare_db &lt; backend/src/config/schema.sql</w:t>
      </w:r>
    </w:p>
    <w:p>
      <w:pPr>
        <w:pStyle w:val="ListParagraph"/>
        <w:numPr>
          <w:ilvl w:val="0"/>
          <w:numId w:val="2"/>
        </w:numPr>
        <w:spacing w:after="60" w:before="120"/>
      </w:pPr>
      <w:r>
        <w:rPr>
          <w:rFonts w:ascii="Arial" w:cs="Arial" w:eastAsia="Arial" w:hAnsi="Arial"/>
          <w:b/>
          <w:bCs/>
          <w:color w:val="191c21"/>
          <w:sz w:val="22"/>
          <w:szCs w:val="22"/>
        </w:rPr>
        <w:t xml:space="preserve">Verificar el sistema:</w:t>
      </w:r>
    </w:p>
    <w:p>
      <w:pPr>
        <w:shd w:fill="1E1E1E" w:val="clear"/>
        <w:spacing w:after="60" w:before="60"/>
        <w:ind w:left="360"/>
      </w:pPr>
      <w:r>
        <w:rPr>
          <w:rFonts w:ascii="Courier New" w:cs="Courier New" w:eastAsia="Courier New" w:hAnsi="Courier New"/>
          <w:color w:val="00FF41"/>
          <w:sz w:val="18"/>
          <w:szCs w:val="18"/>
        </w:rPr>
        <w:t xml:space="preserve">curl http://localhost/health</w:t>
      </w:r>
    </w:p>
    <w:p>
      <w:pPr>
        <w:shd w:fill="1E1E1E" w:val="clear"/>
        <w:spacing w:after="60" w:before="60"/>
        <w:ind w:left="360"/>
      </w:pPr>
      <w:r>
        <w:rPr>
          <w:rFonts w:ascii="Courier New" w:cs="Courier New" w:eastAsia="Courier New" w:hAnsi="Courier New"/>
          <w:color w:val="00FF41"/>
          <w:sz w:val="18"/>
          <w:szCs w:val="18"/>
        </w:rPr>
        <w:t xml:space="preserve"># Respuesta esperada: {"status":"OK"}</w:t>
      </w:r>
    </w:p>
    <w:p>
      <w:r>
        <w:br w:type="page"/>
      </w:r>
    </w:p>
    <w:p>
      <w:pPr>
        <w:pStyle w:val="Heading1"/>
        <w:pBdr>
          <w:bottom w:val="single" w:color="003f87" w:sz="6" w:space="4"/>
        </w:pBdr>
        <w:spacing w:after="200" w:before="400"/>
      </w:pPr>
      <w:r>
        <w:rPr>
          <w:rFonts w:ascii="Arial" w:cs="Arial" w:eastAsia="Arial" w:hAnsi="Arial"/>
          <w:b/>
          <w:bCs/>
          <w:color w:val="003f87"/>
          <w:sz w:val="32"/>
          <w:szCs w:val="32"/>
        </w:rPr>
        <w:t xml:space="preserve">12. Equipo de Desarrollo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Rol</w:t>
            </w:r>
          </w:p>
        </w:tc>
        <w:tc>
          <w:tcPr>
            <w:tcW w:type="dxa" w:w="636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Responsabilidades</w:t>
            </w:r>
          </w:p>
        </w:tc>
      </w:tr>
      <w:tr>
        <w:trPr>
          <w:tblHeader w:val="false"/>
        </w:trPr>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DevOps Lead / Líder de Proyecto</w:t>
            </w:r>
          </w:p>
        </w:tc>
        <w:tc>
          <w:tcPr>
            <w:tcW w:type="dxa" w:w="6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Arquitectura, integración de infraestructura y desarrollo, coordinación del equipo, documentación técnica</w:t>
            </w:r>
          </w:p>
        </w:tc>
      </w:tr>
      <w:tr>
        <w:trPr>
          <w:tblHeader w:val="false"/>
        </w:trPr>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Célula de Infraestructura</w:t>
            </w:r>
          </w:p>
        </w:tc>
        <w:tc>
          <w:tcPr>
            <w:tcW w:type="dxa" w:w="6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LVM, Docker, NGINX, Cloudflare Tunnel, replicación de base de datos, monitoreo con Netdata</w:t>
            </w:r>
          </w:p>
        </w:tc>
      </w:tr>
      <w:tr>
        <w:trPr>
          <w:tblHeader w:val="false"/>
        </w:trPr>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Célula de Desarrollo — Backend</w:t>
            </w:r>
          </w:p>
        </w:tc>
        <w:tc>
          <w:tcPr>
            <w:tcW w:type="dxa" w:w="6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API REST, lógica de negocio, autenticación JWT, manejo de archivos</w:t>
            </w:r>
          </w:p>
        </w:tc>
      </w:tr>
      <w:tr>
        <w:trPr>
          <w:tblHeader w:val="false"/>
        </w:trPr>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Célula de Desarrollo — Frontend</w:t>
            </w:r>
          </w:p>
        </w:tc>
        <w:tc>
          <w:tcPr>
            <w:tcW w:type="dxa" w:w="6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Interfaz web HTML/Tailwind, integración con API, diseño de pantallas</w:t>
            </w:r>
          </w:p>
        </w:tc>
      </w:tr>
      <w:tr>
        <w:trPr>
          <w:tblHeader w:val="false"/>
        </w:trPr>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Célula de Desarrollo — Base de Datos</w:t>
            </w:r>
          </w:p>
        </w:tc>
        <w:tc>
          <w:tcPr>
            <w:tcW w:type="dxa" w:w="6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Diseño del esquema relacional, migraciones, optimización de consultas</w:t>
            </w:r>
          </w:p>
        </w:tc>
      </w:tr>
    </w:tbl>
    <w:p>
      <w:pPr>
        <w:spacing w:after="100" w:before="100"/>
      </w:pPr>
      <w:r>
        <w:t xml:space="preserve"/>
      </w:r>
    </w:p>
    <w:p>
      <w:pPr>
        <w:spacing w:after="100" w:before="100"/>
      </w:pPr>
      <w:r>
        <w:t xml:space="preserve"/>
      </w:r>
    </w:p>
    <w:p>
      <w:pPr>
        <w:pStyle w:val="Heading2"/>
        <w:spacing w:after="160" w:before="300"/>
      </w:pPr>
      <w:r>
        <w:rPr>
          <w:rFonts w:ascii="Arial" w:cs="Arial" w:eastAsia="Arial" w:hAnsi="Arial"/>
          <w:b/>
          <w:bCs/>
          <w:color w:val="003f87"/>
          <w:sz w:val="26"/>
          <w:szCs w:val="26"/>
        </w:rPr>
        <w:t xml:space="preserve">12.1 Información del Proyecto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6360"/>
            <w:tcBorders>
              <w:top w:val="single" w:color="C2C6D4" w:sz="1"/>
              <w:left w:val="single" w:color="C2C6D4" w:sz="1"/>
              <w:bottom w:val="single" w:color="C2C6D4" w:sz="1"/>
              <w:right w:val="single" w:color="C2C6D4" w:sz="1"/>
            </w:tcBorders>
            <w:shd w:fill="003f87"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w:t>
            </w:r>
          </w:p>
        </w:tc>
      </w:tr>
      <w:tr>
        <w:trPr>
          <w:tblHeader w:val="false"/>
        </w:trPr>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Institución</w:t>
            </w:r>
          </w:p>
        </w:tc>
        <w:tc>
          <w:tcPr>
            <w:tcW w:type="dxa" w:w="6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Universidad Politécnica de Tulancingo</w:t>
            </w:r>
          </w:p>
        </w:tc>
      </w:tr>
      <w:tr>
        <w:trPr>
          <w:tblHeader w:val="false"/>
        </w:trPr>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Carrera</w:t>
            </w:r>
          </w:p>
        </w:tc>
        <w:tc>
          <w:tcPr>
            <w:tcW w:type="dxa" w:w="6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Ingeniería en Sistemas Computacionales</w:t>
            </w:r>
          </w:p>
        </w:tc>
      </w:tr>
      <w:tr>
        <w:trPr>
          <w:tblHeader w:val="false"/>
        </w:trPr>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Repositorio</w:t>
            </w:r>
          </w:p>
        </w:tc>
        <w:tc>
          <w:tcPr>
            <w:tcW w:type="dxa" w:w="6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https://github.com/gabolirca/Uni-Share</w:t>
            </w:r>
          </w:p>
        </w:tc>
      </w:tr>
      <w:tr>
        <w:trPr>
          <w:tblHeader w:val="false"/>
        </w:trPr>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Versión</w:t>
            </w:r>
          </w:p>
        </w:tc>
        <w:tc>
          <w:tcPr>
            <w:tcW w:type="dxa" w:w="6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1.0.0</w:t>
            </w:r>
          </w:p>
        </w:tc>
      </w:tr>
      <w:tr>
        <w:trPr>
          <w:tblHeader w:val="false"/>
        </w:trPr>
        <w:tc>
          <w:tcPr>
            <w:tcW w:type="dxa" w:w="300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Fecha</w:t>
            </w:r>
          </w:p>
        </w:tc>
        <w:tc>
          <w:tcPr>
            <w:tcW w:type="dxa" w:w="6360"/>
            <w:tcBorders>
              <w:top w:val="single" w:color="C2C6D4" w:sz="1"/>
              <w:left w:val="single" w:color="C2C6D4" w:sz="1"/>
              <w:bottom w:val="single" w:color="C2C6D4" w:sz="1"/>
              <w:right w:val="single" w:color="C2C6D4" w:sz="1"/>
            </w:tcBorders>
            <w:shd w:fill="F2F3FC"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Abril 2026</w:t>
            </w:r>
          </w:p>
        </w:tc>
      </w:tr>
      <w:tr>
        <w:trPr>
          <w:tblHeader w:val="false"/>
        </w:trPr>
        <w:tc>
          <w:tcPr>
            <w:tcW w:type="dxa" w:w="300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Licencia</w:t>
            </w:r>
          </w:p>
        </w:tc>
        <w:tc>
          <w:tcPr>
            <w:tcW w:type="dxa" w:w="6360"/>
            <w:tcBorders>
              <w:top w:val="single" w:color="C2C6D4" w:sz="1"/>
              <w:left w:val="single" w:color="C2C6D4" w:sz="1"/>
              <w:bottom w:val="single" w:color="C2C6D4" w:sz="1"/>
              <w:right w:val="single" w:color="C2C6D4" w:sz="1"/>
            </w:tcBorders>
            <w:shd w:fill="FFFFFF" w:val="clear"/>
            <w:tcMar>
              <w:top w:type="dxa" w:w="80"/>
              <w:left w:type="dxa" w:w="120"/>
              <w:bottom w:type="dxa" w:w="80"/>
              <w:right w:type="dxa" w:w="120"/>
            </w:tcMar>
            <w:vAlign w:val="center"/>
          </w:tcPr>
          <w:p>
            <w:r>
              <w:rPr>
                <w:rFonts w:ascii="Arial" w:cs="Arial" w:eastAsia="Arial" w:hAnsi="Arial"/>
                <w:b w:val="false"/>
                <w:bCs w:val="false"/>
                <w:color w:val="191c21"/>
                <w:sz w:val="20"/>
                <w:szCs w:val="20"/>
              </w:rPr>
              <w:t xml:space="preserve">MIT — Open Source</w:t>
            </w:r>
          </w:p>
        </w:tc>
      </w:tr>
    </w:tbl>
    <w:p>
      <w:pPr>
        <w:spacing w:after="100" w:before="100"/>
      </w:pPr>
      <w:r>
        <w:t xml:space="preserve"/>
      </w:r>
    </w:p>
    <w:p>
      <w:pPr>
        <w:spacing w:after="100" w:before="100"/>
      </w:pPr>
      <w:r>
        <w:t xml:space="preserve"/>
      </w:r>
    </w:p>
    <w:p>
      <w:pPr>
        <w:pBdr>
          <w:top w:val="single" w:color="003f87" w:sz="4" w:space="4"/>
        </w:pBdr>
        <w:spacing w:before="400"/>
        <w:jc w:val="center"/>
      </w:pPr>
      <w:r>
        <w:rPr>
          <w:rFonts w:ascii="Arial" w:cs="Arial" w:eastAsia="Arial" w:hAnsi="Arial"/>
          <w:i/>
          <w:iCs/>
          <w:color w:val="727784"/>
          <w:sz w:val="18"/>
          <w:szCs w:val="18"/>
        </w:rPr>
        <w:t xml:space="preserve">UniShare © 2026 — Universidad Politécnica de Tulancingo — MIT License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1c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3f87"/>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03f8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247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2026-04-12T21:03:47.075Z</dcterms:created>
  <dcterms:modified xsi:type="dcterms:W3CDTF">2026-04-12T21:03:47.077Z</dcterms:modified>
</cp:coreProperties>
</file>

<file path=docProps/custom.xml><?xml version="1.0" encoding="utf-8"?>
<Properties xmlns="http://schemas.openxmlformats.org/officeDocument/2006/custom-properties" xmlns:vt="http://schemas.openxmlformats.org/officeDocument/2006/docPropsVTypes"/>
</file>