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608DB5" wp14:paraId="61267DCF" wp14:textId="6D54CB67">
      <w:pPr>
        <w:bidi w:val="0"/>
        <w:spacing w:after="40"/>
        <w:rPr>
          <w:rFonts w:ascii="Arial" w:hAnsi="Arial" w:eastAsia="Arial" w:cs="Arial"/>
          <w:b w:val="0"/>
          <w:bCs w:val="0"/>
          <w:i w:val="0"/>
          <w:iCs w:val="0"/>
          <w:caps w:val="0"/>
          <w:smallCaps w:val="0"/>
          <w:color w:val="7F7F7F" w:themeColor="text1" w:themeTint="80" w:themeShade="FF"/>
          <w:sz w:val="15"/>
          <w:szCs w:val="15"/>
        </w:rPr>
      </w:pPr>
      <w:r w:rsidRPr="06608DB5" w:rsidR="1E47248A">
        <w:rPr>
          <w:rFonts w:ascii="Arial" w:hAnsi="Arial" w:eastAsia="Arial" w:cs="Arial"/>
          <w:b w:val="0"/>
          <w:bCs w:val="0"/>
          <w:i w:val="0"/>
          <w:iCs w:val="0"/>
          <w:caps w:val="0"/>
          <w:smallCaps w:val="0"/>
          <w:color w:val="7F7F7F" w:themeColor="text1" w:themeTint="80" w:themeShade="FF"/>
          <w:sz w:val="15"/>
          <w:szCs w:val="15"/>
        </w:rPr>
        <w:t xml:space="preserve">DOSSIÊ DE AUDITORIA </w:t>
      </w:r>
      <w:r w:rsidRPr="06608DB5" w:rsidR="1E47248A">
        <w:rPr>
          <w:rFonts w:ascii="Arial" w:hAnsi="Arial" w:eastAsia="Arial" w:cs="Arial"/>
          <w:b w:val="0"/>
          <w:bCs w:val="0"/>
          <w:i w:val="0"/>
          <w:iCs w:val="0"/>
          <w:caps w:val="0"/>
          <w:smallCaps w:val="0"/>
          <w:color w:val="7F7F7F" w:themeColor="text1" w:themeTint="80" w:themeShade="FF"/>
          <w:sz w:val="15"/>
          <w:szCs w:val="15"/>
        </w:rPr>
        <w:t>· SUZANO</w:t>
      </w:r>
      <w:r w:rsidRPr="06608DB5" w:rsidR="1E47248A">
        <w:rPr>
          <w:rFonts w:ascii="Arial" w:hAnsi="Arial" w:eastAsia="Arial" w:cs="Arial"/>
          <w:b w:val="0"/>
          <w:bCs w:val="0"/>
          <w:i w:val="0"/>
          <w:iCs w:val="0"/>
          <w:caps w:val="0"/>
          <w:smallCaps w:val="0"/>
          <w:color w:val="7F7F7F" w:themeColor="text1" w:themeTint="80" w:themeShade="FF"/>
          <w:sz w:val="15"/>
          <w:szCs w:val="15"/>
        </w:rPr>
        <w:t xml:space="preserve"> S.A.  · EXERCÍCIO 2025</w:t>
      </w:r>
    </w:p>
    <w:p xmlns:wp14="http://schemas.microsoft.com/office/word/2010/wordml" w:rsidP="06608DB5" wp14:paraId="69B38A3C" wp14:textId="3C129FA2">
      <w:pPr>
        <w:bidi w:val="0"/>
        <w:spacing w:after="200"/>
        <w:rPr>
          <w:rFonts w:ascii="Arial" w:hAnsi="Arial" w:eastAsia="Arial" w:cs="Arial" w:asciiTheme="minorAscii" w:hAnsiTheme="minorAscii" w:eastAsiaTheme="minorAscii" w:cstheme="minorBidi"/>
          <w:b w:val="1"/>
          <w:bCs w:val="1"/>
          <w:i w:val="0"/>
          <w:iCs w:val="0"/>
          <w:caps w:val="0"/>
          <w:smallCaps w:val="0"/>
          <w:color w:val="1F3864"/>
          <w:sz w:val="34"/>
          <w:szCs w:val="34"/>
        </w:rPr>
      </w:pPr>
      <w:r w:rsidRPr="06608DB5" w:rsidR="1E47248A">
        <w:rPr>
          <w:rFonts w:ascii="Arial" w:hAnsi="Arial" w:eastAsia="Arial" w:cs="Arial"/>
          <w:b w:val="1"/>
          <w:bCs w:val="1"/>
          <w:i w:val="0"/>
          <w:iCs w:val="0"/>
          <w:caps w:val="0"/>
          <w:smallCaps w:val="0"/>
          <w:color w:val="1F3864"/>
          <w:sz w:val="34"/>
          <w:szCs w:val="34"/>
        </w:rPr>
        <w:t xml:space="preserve">PT 240 </w:t>
      </w:r>
      <w:r w:rsidRPr="06608DB5" w:rsidR="1E47248A">
        <w:rPr>
          <w:rFonts w:ascii="Arial" w:hAnsi="Arial" w:eastAsia="Arial" w:cs="Arial"/>
          <w:b w:val="1"/>
          <w:bCs w:val="1"/>
          <w:i w:val="0"/>
          <w:iCs w:val="0"/>
          <w:caps w:val="0"/>
          <w:smallCaps w:val="0"/>
          <w:color w:val="1F3864"/>
          <w:sz w:val="34"/>
          <w:szCs w:val="34"/>
        </w:rPr>
        <w:t>- Fraude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90"/>
        <w:gridCol w:w="4395"/>
        <w:gridCol w:w="3630"/>
      </w:tblGrid>
      <w:tr w:rsidR="06608DB5" w:rsidTr="06608DB5" w14:paraId="0A21A2D0">
        <w:trPr>
          <w:trHeight w:val="300"/>
        </w:trPr>
        <w:tc>
          <w:tcPr>
            <w:tcW w:w="1590" w:type="dxa"/>
            <w:tcBorders>
              <w:top w:val="nil"/>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65B7E10" w14:textId="08BD0294">
            <w:pPr>
              <w:bidi w:val="0"/>
              <w:spacing w:after="20"/>
              <w:rPr>
                <w:rFonts w:ascii="Arial" w:hAnsi="Arial" w:eastAsia="Arial" w:cs="Arial"/>
                <w:b w:val="0"/>
                <w:bCs w:val="0"/>
                <w:i w:val="0"/>
                <w:iCs w:val="0"/>
                <w:color w:val="7F7F7F" w:themeColor="text1" w:themeTint="80" w:themeShade="FF"/>
                <w:sz w:val="14"/>
                <w:szCs w:val="14"/>
              </w:rPr>
            </w:pPr>
            <w:r w:rsidRPr="06608DB5" w:rsidR="06608DB5">
              <w:rPr>
                <w:rFonts w:ascii="Arial" w:hAnsi="Arial" w:eastAsia="Arial" w:cs="Arial"/>
                <w:b w:val="0"/>
                <w:bCs w:val="0"/>
                <w:i w:val="0"/>
                <w:iCs w:val="0"/>
                <w:color w:val="7F7F7F" w:themeColor="text1" w:themeTint="80" w:themeShade="FF"/>
                <w:sz w:val="14"/>
                <w:szCs w:val="14"/>
              </w:rPr>
              <w:t>CÓDIGO</w:t>
            </w:r>
          </w:p>
          <w:p w:rsidR="06608DB5" w:rsidP="06608DB5" w:rsidRDefault="06608DB5" w14:paraId="4F0F038A" w14:textId="0EADE0F3">
            <w:pPr>
              <w:bidi w:val="0"/>
              <w:spacing w:after="0" w:line="252" w:lineRule="auto"/>
              <w:rPr>
                <w:rFonts w:ascii="Arial" w:hAnsi="Arial" w:eastAsia="Arial" w:cs="Arial"/>
                <w:b w:val="0"/>
                <w:bCs w:val="0"/>
                <w:i w:val="0"/>
                <w:iCs w:val="0"/>
                <w:color w:val="262626" w:themeColor="text1" w:themeTint="D9" w:themeShade="FF"/>
                <w:sz w:val="18"/>
                <w:szCs w:val="18"/>
              </w:rPr>
            </w:pPr>
            <w:r w:rsidRPr="06608DB5" w:rsidR="06608DB5">
              <w:rPr>
                <w:rFonts w:ascii="Arial" w:hAnsi="Arial" w:eastAsia="Arial" w:cs="Arial"/>
                <w:b w:val="0"/>
                <w:bCs w:val="0"/>
                <w:i w:val="0"/>
                <w:iCs w:val="0"/>
                <w:color w:val="262626" w:themeColor="text1" w:themeTint="D9" w:themeShade="FF"/>
                <w:sz w:val="18"/>
                <w:szCs w:val="18"/>
              </w:rPr>
              <w:t>PT 240</w:t>
            </w:r>
          </w:p>
        </w:tc>
        <w:tc>
          <w:tcPr>
            <w:tcW w:w="4395" w:type="dxa"/>
            <w:tcBorders>
              <w:top w:val="nil"/>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5C5C3F37" w14:textId="592D15EE">
            <w:pPr>
              <w:bidi w:val="0"/>
              <w:spacing w:after="20"/>
              <w:rPr>
                <w:rFonts w:ascii="Arial" w:hAnsi="Arial" w:eastAsia="Arial" w:cs="Arial"/>
                <w:b w:val="0"/>
                <w:bCs w:val="0"/>
                <w:i w:val="0"/>
                <w:iCs w:val="0"/>
                <w:color w:val="7F7F7F" w:themeColor="text1" w:themeTint="80" w:themeShade="FF"/>
                <w:sz w:val="14"/>
                <w:szCs w:val="14"/>
              </w:rPr>
            </w:pPr>
            <w:r w:rsidRPr="06608DB5" w:rsidR="06608DB5">
              <w:rPr>
                <w:rFonts w:ascii="Arial" w:hAnsi="Arial" w:eastAsia="Arial" w:cs="Arial"/>
                <w:b w:val="0"/>
                <w:bCs w:val="0"/>
                <w:i w:val="0"/>
                <w:iCs w:val="0"/>
                <w:color w:val="7F7F7F" w:themeColor="text1" w:themeTint="80" w:themeShade="FF"/>
                <w:sz w:val="14"/>
                <w:szCs w:val="14"/>
              </w:rPr>
              <w:t>ENTIDADE</w:t>
            </w:r>
          </w:p>
          <w:p w:rsidR="06608DB5" w:rsidP="06608DB5" w:rsidRDefault="06608DB5" w14:paraId="4A8791A1" w14:textId="2442E2AF">
            <w:pPr>
              <w:bidi w:val="0"/>
              <w:spacing w:after="0" w:line="252" w:lineRule="auto"/>
              <w:rPr>
                <w:rFonts w:ascii="Arial" w:hAnsi="Arial" w:eastAsia="Arial" w:cs="Arial"/>
                <w:b w:val="0"/>
                <w:bCs w:val="0"/>
                <w:i w:val="0"/>
                <w:iCs w:val="0"/>
                <w:color w:val="262626" w:themeColor="text1" w:themeTint="D9" w:themeShade="FF"/>
                <w:sz w:val="18"/>
                <w:szCs w:val="18"/>
              </w:rPr>
            </w:pPr>
            <w:r w:rsidRPr="06608DB5" w:rsidR="06608DB5">
              <w:rPr>
                <w:rFonts w:ascii="Arial" w:hAnsi="Arial" w:eastAsia="Arial" w:cs="Arial"/>
                <w:b w:val="0"/>
                <w:bCs w:val="0"/>
                <w:i w:val="0"/>
                <w:iCs w:val="0"/>
                <w:color w:val="262626" w:themeColor="text1" w:themeTint="D9" w:themeShade="FF"/>
                <w:sz w:val="18"/>
                <w:szCs w:val="18"/>
              </w:rPr>
              <w:t>Suzano S.A. (B3: SUZB3 · NYSE: SUZ)</w:t>
            </w:r>
          </w:p>
        </w:tc>
        <w:tc>
          <w:tcPr>
            <w:tcW w:w="3630" w:type="dxa"/>
            <w:tcBorders>
              <w:top w:val="nil"/>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5135E60" w14:textId="4E35AEE2">
            <w:pPr>
              <w:bidi w:val="0"/>
              <w:spacing w:after="20"/>
              <w:rPr>
                <w:rFonts w:ascii="Arial" w:hAnsi="Arial" w:eastAsia="Arial" w:cs="Arial"/>
                <w:b w:val="0"/>
                <w:bCs w:val="0"/>
                <w:i w:val="0"/>
                <w:iCs w:val="0"/>
                <w:color w:val="7F7F7F" w:themeColor="text1" w:themeTint="80" w:themeShade="FF"/>
                <w:sz w:val="14"/>
                <w:szCs w:val="14"/>
              </w:rPr>
            </w:pPr>
            <w:r w:rsidRPr="06608DB5" w:rsidR="06608DB5">
              <w:rPr>
                <w:rFonts w:ascii="Arial" w:hAnsi="Arial" w:eastAsia="Arial" w:cs="Arial"/>
                <w:b w:val="0"/>
                <w:bCs w:val="0"/>
                <w:i w:val="0"/>
                <w:iCs w:val="0"/>
                <w:color w:val="7F7F7F" w:themeColor="text1" w:themeTint="80" w:themeShade="FF"/>
                <w:sz w:val="14"/>
                <w:szCs w:val="14"/>
              </w:rPr>
              <w:t>EXERCÍCIO</w:t>
            </w:r>
          </w:p>
          <w:p w:rsidR="06608DB5" w:rsidP="06608DB5" w:rsidRDefault="06608DB5" w14:paraId="7CE63BC3" w14:textId="2F393D3F">
            <w:pPr>
              <w:bidi w:val="0"/>
              <w:spacing w:after="0" w:line="252" w:lineRule="auto"/>
              <w:rPr>
                <w:rFonts w:ascii="Arial" w:hAnsi="Arial" w:eastAsia="Arial" w:cs="Arial"/>
                <w:b w:val="0"/>
                <w:bCs w:val="0"/>
                <w:i w:val="0"/>
                <w:iCs w:val="0"/>
                <w:color w:val="262626" w:themeColor="text1" w:themeTint="D9" w:themeShade="FF"/>
                <w:sz w:val="18"/>
                <w:szCs w:val="18"/>
              </w:rPr>
            </w:pPr>
            <w:r w:rsidRPr="06608DB5" w:rsidR="06608DB5">
              <w:rPr>
                <w:rFonts w:ascii="Arial" w:hAnsi="Arial" w:eastAsia="Arial" w:cs="Arial"/>
                <w:b w:val="0"/>
                <w:bCs w:val="0"/>
                <w:i w:val="0"/>
                <w:iCs w:val="0"/>
                <w:color w:val="262626" w:themeColor="text1" w:themeTint="D9" w:themeShade="FF"/>
                <w:sz w:val="18"/>
                <w:szCs w:val="18"/>
              </w:rPr>
              <w:t>31/12/2025 (comparativo 31/12/2024)</w:t>
            </w:r>
          </w:p>
        </w:tc>
      </w:tr>
      <w:tr w:rsidR="06608DB5" w:rsidTr="06608DB5" w14:paraId="64D4F8C1">
        <w:trPr>
          <w:trHeight w:val="300"/>
        </w:trPr>
        <w:tc>
          <w:tcPr>
            <w:tcW w:w="5985" w:type="dxa"/>
            <w:gridSpan w:val="2"/>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78D2A3AA" w14:textId="7AA42FB6">
            <w:pPr>
              <w:bidi w:val="0"/>
              <w:spacing w:after="20"/>
              <w:rPr>
                <w:rFonts w:ascii="Arial" w:hAnsi="Arial" w:eastAsia="Arial" w:cs="Arial"/>
                <w:b w:val="0"/>
                <w:bCs w:val="0"/>
                <w:i w:val="0"/>
                <w:iCs w:val="0"/>
                <w:color w:val="7F7F7F" w:themeColor="text1" w:themeTint="80" w:themeShade="FF"/>
                <w:sz w:val="14"/>
                <w:szCs w:val="14"/>
              </w:rPr>
            </w:pPr>
            <w:r w:rsidRPr="06608DB5" w:rsidR="06608DB5">
              <w:rPr>
                <w:rFonts w:ascii="Arial" w:hAnsi="Arial" w:eastAsia="Arial" w:cs="Arial"/>
                <w:b w:val="0"/>
                <w:bCs w:val="0"/>
                <w:i w:val="0"/>
                <w:iCs w:val="0"/>
                <w:color w:val="7F7F7F" w:themeColor="text1" w:themeTint="80" w:themeShade="FF"/>
                <w:sz w:val="14"/>
                <w:szCs w:val="14"/>
              </w:rPr>
              <w:t>NORMA</w:t>
            </w:r>
          </w:p>
          <w:p w:rsidR="06608DB5" w:rsidP="06608DB5" w:rsidRDefault="06608DB5" w14:paraId="77E569AD" w14:textId="360C4374">
            <w:pPr>
              <w:bidi w:val="0"/>
              <w:spacing w:after="0" w:line="252" w:lineRule="auto"/>
              <w:rPr>
                <w:rFonts w:ascii="Arial" w:hAnsi="Arial" w:eastAsia="Arial" w:cs="Arial"/>
                <w:b w:val="0"/>
                <w:bCs w:val="0"/>
                <w:i w:val="0"/>
                <w:iCs w:val="0"/>
                <w:color w:val="262626" w:themeColor="text1" w:themeTint="D9" w:themeShade="FF"/>
                <w:sz w:val="18"/>
                <w:szCs w:val="18"/>
              </w:rPr>
            </w:pPr>
            <w:r w:rsidRPr="06608DB5" w:rsidR="06608DB5">
              <w:rPr>
                <w:rFonts w:ascii="Arial" w:hAnsi="Arial" w:eastAsia="Arial" w:cs="Arial"/>
                <w:b w:val="0"/>
                <w:bCs w:val="0"/>
                <w:i w:val="0"/>
                <w:iCs w:val="0"/>
                <w:color w:val="262626" w:themeColor="text1" w:themeTint="D9" w:themeShade="FF"/>
                <w:sz w:val="18"/>
                <w:szCs w:val="18"/>
              </w:rPr>
              <w:t>NBC TA 240 (R1) – Responsabilidade do auditor em relação a fraude, no contexto da auditoria de demonstrações contábeis</w:t>
            </w:r>
          </w:p>
        </w:tc>
        <w:tc>
          <w:tcPr>
            <w:tcW w:w="363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D28A513" w14:textId="0AAD52C8">
            <w:pPr>
              <w:bidi w:val="0"/>
              <w:spacing w:after="20"/>
              <w:rPr>
                <w:rFonts w:ascii="Arial" w:hAnsi="Arial" w:eastAsia="Arial" w:cs="Arial"/>
                <w:b w:val="0"/>
                <w:bCs w:val="0"/>
                <w:i w:val="0"/>
                <w:iCs w:val="0"/>
                <w:color w:val="7F7F7F" w:themeColor="text1" w:themeTint="80" w:themeShade="FF"/>
                <w:sz w:val="14"/>
                <w:szCs w:val="14"/>
              </w:rPr>
            </w:pPr>
            <w:r w:rsidRPr="06608DB5" w:rsidR="06608DB5">
              <w:rPr>
                <w:rFonts w:ascii="Arial" w:hAnsi="Arial" w:eastAsia="Arial" w:cs="Arial"/>
                <w:b w:val="0"/>
                <w:bCs w:val="0"/>
                <w:i w:val="0"/>
                <w:iCs w:val="0"/>
                <w:color w:val="7F7F7F" w:themeColor="text1" w:themeTint="80" w:themeShade="FF"/>
                <w:sz w:val="14"/>
                <w:szCs w:val="14"/>
              </w:rPr>
              <w:t>ITENS UTILIZADOS</w:t>
            </w:r>
          </w:p>
          <w:p w:rsidR="06608DB5" w:rsidP="06608DB5" w:rsidRDefault="06608DB5" w14:paraId="49D2B3C1" w14:textId="606284B3">
            <w:pPr>
              <w:bidi w:val="0"/>
              <w:spacing w:after="0" w:line="252" w:lineRule="auto"/>
              <w:rPr>
                <w:rFonts w:ascii="Arial" w:hAnsi="Arial" w:eastAsia="Arial" w:cs="Arial"/>
                <w:b w:val="0"/>
                <w:bCs w:val="0"/>
                <w:i w:val="0"/>
                <w:iCs w:val="0"/>
                <w:color w:val="262626" w:themeColor="text1" w:themeTint="D9" w:themeShade="FF"/>
                <w:sz w:val="18"/>
                <w:szCs w:val="18"/>
              </w:rPr>
            </w:pPr>
            <w:r w:rsidRPr="06608DB5" w:rsidR="06608DB5">
              <w:rPr>
                <w:rFonts w:ascii="Arial" w:hAnsi="Arial" w:eastAsia="Arial" w:cs="Arial"/>
                <w:b w:val="0"/>
                <w:bCs w:val="0"/>
                <w:i w:val="0"/>
                <w:iCs w:val="0"/>
                <w:color w:val="262626" w:themeColor="text1" w:themeTint="D9" w:themeShade="FF"/>
                <w:sz w:val="18"/>
                <w:szCs w:val="18"/>
              </w:rPr>
              <w:t>16, 18–24, 26–28, 32–33; Apêndice 1 (numeração da Revisão NBC 3)</w:t>
            </w:r>
          </w:p>
        </w:tc>
      </w:tr>
      <w:tr w:rsidR="06608DB5" w:rsidTr="06608DB5" w14:paraId="42BB9C7B">
        <w:trPr>
          <w:trHeight w:val="300"/>
        </w:trPr>
        <w:tc>
          <w:tcPr>
            <w:tcW w:w="5985" w:type="dxa"/>
            <w:gridSpan w:val="2"/>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BE05C38" w14:textId="3795E933">
            <w:pPr>
              <w:bidi w:val="0"/>
              <w:spacing w:after="20"/>
              <w:rPr>
                <w:rFonts w:ascii="Arial" w:hAnsi="Arial" w:eastAsia="Arial" w:cs="Arial"/>
                <w:b w:val="0"/>
                <w:bCs w:val="0"/>
                <w:i w:val="0"/>
                <w:iCs w:val="0"/>
                <w:color w:val="7F7F7F" w:themeColor="text1" w:themeTint="80" w:themeShade="FF"/>
                <w:sz w:val="14"/>
                <w:szCs w:val="14"/>
              </w:rPr>
            </w:pPr>
            <w:r w:rsidRPr="06608DB5" w:rsidR="06608DB5">
              <w:rPr>
                <w:rFonts w:ascii="Arial" w:hAnsi="Arial" w:eastAsia="Arial" w:cs="Arial"/>
                <w:b w:val="0"/>
                <w:bCs w:val="0"/>
                <w:i w:val="0"/>
                <w:iCs w:val="0"/>
                <w:color w:val="7F7F7F" w:themeColor="text1" w:themeTint="80" w:themeShade="FF"/>
                <w:sz w:val="14"/>
                <w:szCs w:val="14"/>
              </w:rPr>
              <w:t>VERSÃO CONSULTADA</w:t>
            </w:r>
          </w:p>
          <w:p w:rsidR="06608DB5" w:rsidP="06608DB5" w:rsidRDefault="06608DB5" w14:paraId="7D5E28CD" w14:textId="77CE99B2">
            <w:pPr>
              <w:bidi w:val="0"/>
              <w:spacing w:after="0" w:line="252" w:lineRule="auto"/>
              <w:rPr>
                <w:rFonts w:ascii="Arial" w:hAnsi="Arial" w:eastAsia="Arial" w:cs="Arial"/>
                <w:b w:val="0"/>
                <w:bCs w:val="0"/>
                <w:i w:val="0"/>
                <w:iCs w:val="0"/>
                <w:color w:val="262626" w:themeColor="text1" w:themeTint="D9" w:themeShade="FF"/>
                <w:sz w:val="18"/>
                <w:szCs w:val="18"/>
              </w:rPr>
            </w:pPr>
            <w:r w:rsidRPr="06608DB5" w:rsidR="06608DB5">
              <w:rPr>
                <w:rFonts w:ascii="Arial" w:hAnsi="Arial" w:eastAsia="Arial" w:cs="Arial"/>
                <w:b w:val="0"/>
                <w:bCs w:val="0"/>
                <w:i w:val="0"/>
                <w:iCs w:val="0"/>
                <w:color w:val="262626" w:themeColor="text1" w:themeTint="D9" w:themeShade="FF"/>
                <w:sz w:val="18"/>
                <w:szCs w:val="18"/>
              </w:rPr>
              <w:t xml:space="preserve">NBC TA 240 (R1) – CFC, acesso em 20/10/2026: </w:t>
            </w:r>
            <w:hyperlink r:id="Raafe91688edf4cae">
              <w:r w:rsidRPr="06608DB5" w:rsidR="1137642D">
                <w:rPr>
                  <w:rStyle w:val="Hyperlink"/>
                  <w:b w:val="0"/>
                  <w:bCs w:val="0"/>
                  <w:i w:val="0"/>
                  <w:iCs w:val="0"/>
                </w:rPr>
                <w:t>NBC TA 240</w:t>
              </w:r>
            </w:hyperlink>
            <w:r w:rsidRPr="06608DB5" w:rsidR="06608DB5">
              <w:rPr>
                <w:rFonts w:ascii="Arial" w:hAnsi="Arial" w:eastAsia="Arial" w:cs="Arial"/>
                <w:b w:val="0"/>
                <w:bCs w:val="0"/>
                <w:i w:val="0"/>
                <w:iCs w:val="0"/>
                <w:color w:val="262626" w:themeColor="text1" w:themeTint="D9" w:themeShade="FF"/>
                <w:sz w:val="18"/>
                <w:szCs w:val="18"/>
              </w:rPr>
              <w:t>)</w:t>
            </w:r>
          </w:p>
        </w:tc>
        <w:tc>
          <w:tcPr>
            <w:tcW w:w="363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0ADCB6A" w14:textId="7816C5D8">
            <w:pPr>
              <w:bidi w:val="0"/>
              <w:spacing w:after="20"/>
              <w:rPr>
                <w:rFonts w:ascii="Arial" w:hAnsi="Arial" w:eastAsia="Arial" w:cs="Arial"/>
                <w:b w:val="0"/>
                <w:bCs w:val="0"/>
                <w:i w:val="0"/>
                <w:iCs w:val="0"/>
                <w:color w:val="7F7F7F" w:themeColor="text1" w:themeTint="80" w:themeShade="FF"/>
                <w:sz w:val="14"/>
                <w:szCs w:val="14"/>
              </w:rPr>
            </w:pPr>
            <w:r w:rsidRPr="06608DB5" w:rsidR="06608DB5">
              <w:rPr>
                <w:rFonts w:ascii="Arial" w:hAnsi="Arial" w:eastAsia="Arial" w:cs="Arial"/>
                <w:b w:val="0"/>
                <w:bCs w:val="0"/>
                <w:i w:val="0"/>
                <w:iCs w:val="0"/>
                <w:color w:val="7F7F7F" w:themeColor="text1" w:themeTint="80" w:themeShade="FF"/>
                <w:sz w:val="14"/>
                <w:szCs w:val="14"/>
              </w:rPr>
              <w:t>STATUS</w:t>
            </w:r>
          </w:p>
          <w:p w:rsidR="06608DB5" w:rsidP="06608DB5" w:rsidRDefault="06608DB5" w14:paraId="7A82EC39" w14:textId="07C0461C">
            <w:pPr>
              <w:bidi w:val="0"/>
              <w:spacing w:after="0" w:line="252" w:lineRule="auto"/>
              <w:rPr>
                <w:rFonts w:ascii="Arial" w:hAnsi="Arial" w:eastAsia="Arial" w:cs="Arial"/>
                <w:b w:val="0"/>
                <w:bCs w:val="0"/>
                <w:i w:val="0"/>
                <w:iCs w:val="0"/>
                <w:color w:val="262626" w:themeColor="text1" w:themeTint="D9" w:themeShade="FF"/>
                <w:sz w:val="18"/>
                <w:szCs w:val="18"/>
              </w:rPr>
            </w:pPr>
            <w:r w:rsidRPr="06608DB5" w:rsidR="06608DB5">
              <w:rPr>
                <w:rFonts w:ascii="Arial" w:hAnsi="Arial" w:eastAsia="Arial" w:cs="Arial"/>
                <w:b w:val="0"/>
                <w:bCs w:val="0"/>
                <w:i w:val="0"/>
                <w:iCs w:val="0"/>
                <w:color w:val="262626" w:themeColor="text1" w:themeTint="D9" w:themeShade="FF"/>
                <w:sz w:val="18"/>
                <w:szCs w:val="18"/>
              </w:rPr>
              <w:t>Realizado com evidência pública; testes de lançamentos planejados e simulados</w:t>
            </w:r>
          </w:p>
        </w:tc>
      </w:tr>
    </w:tbl>
    <w:p xmlns:wp14="http://schemas.microsoft.com/office/word/2010/wordml" w:rsidP="06608DB5" wp14:paraId="01E742A5" wp14:textId="3F52133D">
      <w:pPr>
        <w:bidi w:val="0"/>
        <w:spacing w:after="100"/>
        <w:jc w:val="both"/>
        <w:rPr>
          <w:rFonts w:ascii="Arial" w:hAnsi="Arial" w:eastAsia="Arial" w:cs="Arial"/>
          <w:b w:val="0"/>
          <w:bCs w:val="0"/>
          <w:i w:val="0"/>
          <w:iCs w:val="0"/>
          <w:caps w:val="0"/>
          <w:smallCaps w:val="0"/>
          <w:color w:val="262626" w:themeColor="text1" w:themeTint="D9" w:themeShade="FF"/>
          <w:sz w:val="19"/>
          <w:szCs w:val="19"/>
        </w:rPr>
      </w:pPr>
    </w:p>
    <w:p xmlns:wp14="http://schemas.microsoft.com/office/word/2010/wordml" w:rsidP="06608DB5" wp14:paraId="230D5AA7" wp14:textId="1D4C79BB">
      <w:pPr>
        <w:bidi w:val="0"/>
        <w:spacing w:after="0" w:line="264" w:lineRule="auto"/>
        <w:jc w:val="both"/>
        <w:rPr>
          <w:rFonts w:ascii="Arial" w:hAnsi="Arial" w:eastAsia="Arial" w:cs="Arial"/>
          <w:b w:val="0"/>
          <w:bCs w:val="0"/>
          <w:i w:val="0"/>
          <w:iCs w:val="0"/>
          <w:caps w:val="0"/>
          <w:smallCaps w:val="0"/>
          <w:color w:val="262626" w:themeColor="text1" w:themeTint="D9" w:themeShade="FF"/>
          <w:sz w:val="17"/>
          <w:szCs w:val="17"/>
        </w:rPr>
      </w:pPr>
      <w:r w:rsidRPr="06608DB5" w:rsidR="1E47248A">
        <w:rPr>
          <w:rFonts w:ascii="Arial" w:hAnsi="Arial" w:eastAsia="Arial" w:cs="Arial"/>
          <w:b w:val="1"/>
          <w:bCs w:val="1"/>
          <w:i w:val="0"/>
          <w:iCs w:val="0"/>
          <w:caps w:val="0"/>
          <w:smallCaps w:val="0"/>
          <w:color w:val="262626" w:themeColor="text1" w:themeTint="D9" w:themeShade="FF"/>
          <w:sz w:val="19"/>
          <w:szCs w:val="19"/>
        </w:rPr>
        <w:t xml:space="preserve">Natureza do PT. </w:t>
      </w:r>
      <w:r w:rsidRPr="06608DB5" w:rsidR="1E47248A">
        <w:rPr>
          <w:rFonts w:ascii="Arial" w:hAnsi="Arial" w:eastAsia="Arial" w:cs="Arial"/>
          <w:b w:val="0"/>
          <w:bCs w:val="0"/>
          <w:i w:val="0"/>
          <w:iCs w:val="0"/>
          <w:caps w:val="0"/>
          <w:smallCaps w:val="0"/>
          <w:color w:val="262626" w:themeColor="text1" w:themeTint="D9" w:themeShade="FF"/>
          <w:sz w:val="17"/>
          <w:szCs w:val="17"/>
        </w:rPr>
        <w:t>Trabalho acadêmico; não constitui opinião de auditoria. Os fatores de risco vêm de fontes públicas. Os testes de lançamentos serão executados apenas na base simulada (SIM) do imobilizado, sem relação com registros reais da Companhia.</w:t>
      </w:r>
    </w:p>
    <w:p xmlns:wp14="http://schemas.microsoft.com/office/word/2010/wordml" w:rsidP="06608DB5" wp14:paraId="41032E73" wp14:textId="7EBC2E97">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1   </w:t>
      </w:r>
      <w:r w:rsidRPr="06608DB5" w:rsidR="1E47248A">
        <w:rPr>
          <w:rFonts w:ascii="Arial" w:hAnsi="Arial" w:eastAsia="Arial" w:cs="Arial"/>
          <w:b w:val="1"/>
          <w:bCs w:val="1"/>
          <w:i w:val="0"/>
          <w:iCs w:val="0"/>
          <w:caps w:val="0"/>
          <w:smallCaps w:val="0"/>
          <w:color w:val="1F3864"/>
          <w:sz w:val="20"/>
          <w:szCs w:val="20"/>
        </w:rPr>
        <w:t>OBJETIVO E OBJETO</w:t>
      </w:r>
    </w:p>
    <w:p xmlns:wp14="http://schemas.microsoft.com/office/word/2010/wordml" w:rsidP="06608DB5" wp14:paraId="7A17B650" wp14:textId="1B10E00F">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Avaliar os fatores de risco de fraude na Suzano, incluindo o reconhecimento de receitas e a burla de controles pela administração, e planejar os testes de lançamentos contábeis e as demais respostas aos riscos (itens 24, 27 e 33).</w:t>
      </w:r>
    </w:p>
    <w:p xmlns:wp14="http://schemas.microsoft.com/office/word/2010/wordml" w:rsidP="06608DB5" wp14:paraId="6276B2E0" wp14:textId="300E4C7F">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2   </w:t>
      </w:r>
      <w:r w:rsidRPr="06608DB5" w:rsidR="1E47248A">
        <w:rPr>
          <w:rFonts w:ascii="Arial" w:hAnsi="Arial" w:eastAsia="Arial" w:cs="Arial"/>
          <w:b w:val="1"/>
          <w:bCs w:val="1"/>
          <w:i w:val="0"/>
          <w:iCs w:val="0"/>
          <w:caps w:val="0"/>
          <w:smallCaps w:val="0"/>
          <w:color w:val="1F3864"/>
          <w:sz w:val="20"/>
          <w:szCs w:val="20"/>
        </w:rPr>
        <w:t>AFIRMAÇÕES E RISCOS</w:t>
      </w:r>
    </w:p>
    <w:p xmlns:wp14="http://schemas.microsoft.com/office/word/2010/wordml" w:rsidP="06608DB5" wp14:paraId="5915DB1C" wp14:textId="470438B5">
      <w:pPr>
        <w:bidi w:val="0"/>
        <w:spacing w:after="100" w:line="276" w:lineRule="auto"/>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Afirmações mais expostas a fraude: ocorrência e corte da receita; valorização das estimativas (ativos biológicos e contingências); e apresentação de operações fora do curso normal. População e fontes: DFP 2025 (F1) e texto da norma (F2).</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40"/>
        <w:gridCol w:w="5895"/>
        <w:gridCol w:w="1245"/>
        <w:gridCol w:w="1935"/>
      </w:tblGrid>
      <w:tr w:rsidR="06608DB5" w:rsidTr="06608DB5" w14:paraId="0BE731C4">
        <w:trPr>
          <w:trHeight w:val="300"/>
        </w:trPr>
        <w:tc>
          <w:tcPr>
            <w:tcW w:w="54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25AEAF35" w14:textId="44365570">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Ref.</w:t>
            </w:r>
          </w:p>
        </w:tc>
        <w:tc>
          <w:tcPr>
            <w:tcW w:w="58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571623D6" w14:textId="7D56CFC8">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Documento e endereço</w:t>
            </w:r>
          </w:p>
        </w:tc>
        <w:tc>
          <w:tcPr>
            <w:tcW w:w="124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97950D1" w14:textId="642E0D6F">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Acesso</w:t>
            </w:r>
          </w:p>
        </w:tc>
        <w:tc>
          <w:tcPr>
            <w:tcW w:w="19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EA186D7" w14:textId="38C19266">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Páginas</w:t>
            </w:r>
          </w:p>
        </w:tc>
      </w:tr>
      <w:tr w:rsidR="06608DB5" w:rsidTr="06608DB5" w14:paraId="625E4CCB">
        <w:trPr>
          <w:trHeight w:val="300"/>
        </w:trPr>
        <w:tc>
          <w:tcPr>
            <w:tcW w:w="54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5DB9051E" w14:textId="1D8E7E2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w:t>
            </w:r>
          </w:p>
        </w:tc>
        <w:tc>
          <w:tcPr>
            <w:tcW w:w="589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19732A4" w14:textId="3DE191C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DFP 31/12/2025, versão 1 – CVM/RAD:</w:t>
            </w:r>
            <w:r w:rsidRPr="06608DB5" w:rsidR="06608DB5">
              <w:rPr>
                <w:rFonts w:ascii="Arial" w:hAnsi="Arial" w:eastAsia="Arial" w:cs="Arial"/>
                <w:b w:val="0"/>
                <w:bCs w:val="0"/>
                <w:i w:val="0"/>
                <w:iCs w:val="0"/>
                <w:color w:val="262626" w:themeColor="text1" w:themeTint="D9" w:themeShade="FF"/>
                <w:sz w:val="18"/>
                <w:szCs w:val="18"/>
              </w:rPr>
              <w:t xml:space="preserve"> </w:t>
            </w:r>
            <w:hyperlink r:id="Rdc6577a1673f44a0">
              <w:r w:rsidRPr="06608DB5" w:rsidR="3F567C1B">
                <w:rPr>
                  <w:rStyle w:val="Hyperlink"/>
                  <w:rFonts w:ascii="Arial" w:hAnsi="Arial" w:eastAsia="Arial" w:cs="Arial"/>
                  <w:b w:val="0"/>
                  <w:bCs w:val="0"/>
                  <w:i w:val="0"/>
                  <w:iCs w:val="0"/>
                  <w:sz w:val="18"/>
                  <w:szCs w:val="18"/>
                </w:rPr>
                <w:t>DFP</w:t>
              </w:r>
            </w:hyperlink>
          </w:p>
        </w:tc>
        <w:tc>
          <w:tcPr>
            <w:tcW w:w="124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4D25FDF7" w:rsidP="06608DB5" w:rsidRDefault="4D25FDF7" w14:paraId="501DADF3" w14:textId="4535DBDE">
            <w:pPr>
              <w:bidi w:val="0"/>
              <w:spacing w:after="0" w:line="252" w:lineRule="auto"/>
              <w:rPr>
                <w:rFonts w:ascii="Arial" w:hAnsi="Arial" w:eastAsia="Arial" w:cs="Arial"/>
                <w:b w:val="0"/>
                <w:bCs w:val="0"/>
                <w:i w:val="0"/>
                <w:iCs w:val="0"/>
                <w:color w:val="262626" w:themeColor="text1" w:themeTint="D9" w:themeShade="FF"/>
                <w:sz w:val="17"/>
                <w:szCs w:val="17"/>
                <w:highlight w:val="yellow"/>
              </w:rPr>
            </w:pPr>
            <w:r w:rsidRPr="06608DB5" w:rsidR="4D25FDF7">
              <w:rPr>
                <w:rFonts w:ascii="Arial" w:hAnsi="Arial" w:eastAsia="Arial" w:cs="Arial"/>
                <w:b w:val="0"/>
                <w:bCs w:val="0"/>
                <w:i w:val="0"/>
                <w:iCs w:val="0"/>
                <w:color w:val="262626" w:themeColor="text1" w:themeTint="D9" w:themeShade="FF"/>
                <w:sz w:val="17"/>
                <w:szCs w:val="17"/>
              </w:rPr>
              <w:t>20/10/2026</w:t>
            </w:r>
          </w:p>
        </w:tc>
        <w:tc>
          <w:tcPr>
            <w:tcW w:w="193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9B8A966" w14:textId="6506BA5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p. 44, 47, 49, 115, 139, 149, 161, 202–204</w:t>
            </w:r>
          </w:p>
        </w:tc>
      </w:tr>
      <w:tr w:rsidR="06608DB5" w:rsidTr="06608DB5" w14:paraId="302FAC90">
        <w:trPr>
          <w:trHeight w:val="300"/>
        </w:trPr>
        <w:tc>
          <w:tcPr>
            <w:tcW w:w="54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278136EA" w14:textId="218E0BA1">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F2</w:t>
            </w:r>
          </w:p>
        </w:tc>
        <w:tc>
          <w:tcPr>
            <w:tcW w:w="589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12A9E352" w14:textId="23ED9BA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NBC TA 240 (R1) – CFC:</w:t>
            </w:r>
            <w:r w:rsidRPr="06608DB5" w:rsidR="06608DB5">
              <w:rPr>
                <w:rFonts w:ascii="Arial" w:hAnsi="Arial" w:eastAsia="Arial" w:cs="Arial"/>
                <w:b w:val="0"/>
                <w:bCs w:val="0"/>
                <w:i w:val="0"/>
                <w:iCs w:val="0"/>
                <w:color w:val="262626" w:themeColor="text1" w:themeTint="D9" w:themeShade="FF"/>
                <w:sz w:val="18"/>
                <w:szCs w:val="18"/>
              </w:rPr>
              <w:t xml:space="preserve"> </w:t>
            </w:r>
            <w:hyperlink r:id="R3ca2f72cc72a49af">
              <w:r w:rsidRPr="06608DB5" w:rsidR="5DEC9CD5">
                <w:rPr>
                  <w:rStyle w:val="Hyperlink"/>
                  <w:rFonts w:ascii="Arial" w:hAnsi="Arial" w:eastAsia="Arial" w:cs="Arial"/>
                  <w:b w:val="0"/>
                  <w:bCs w:val="0"/>
                  <w:i w:val="0"/>
                  <w:iCs w:val="0"/>
                  <w:sz w:val="18"/>
                  <w:szCs w:val="18"/>
                </w:rPr>
                <w:t>NBC TA 240</w:t>
              </w:r>
            </w:hyperlink>
            <w:r w:rsidRPr="06608DB5" w:rsidR="06608DB5">
              <w:rPr>
                <w:rFonts w:ascii="Arial" w:hAnsi="Arial" w:eastAsia="Arial" w:cs="Arial"/>
                <w:b w:val="0"/>
                <w:bCs w:val="0"/>
                <w:i w:val="0"/>
                <w:iCs w:val="0"/>
                <w:color w:val="262626" w:themeColor="text1" w:themeTint="D9" w:themeShade="FF"/>
                <w:sz w:val="18"/>
                <w:szCs w:val="18"/>
              </w:rPr>
              <w:t>)</w:t>
            </w:r>
          </w:p>
        </w:tc>
        <w:tc>
          <w:tcPr>
            <w:tcW w:w="124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1789F8ED" w14:textId="057F69B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20/10/2026</w:t>
            </w:r>
          </w:p>
        </w:tc>
        <w:tc>
          <w:tcPr>
            <w:tcW w:w="193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5F5D6065" w14:textId="11693FCC">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Itens 16–35, Apêndice 1</w:t>
            </w:r>
          </w:p>
        </w:tc>
      </w:tr>
    </w:tbl>
    <w:p xmlns:wp14="http://schemas.microsoft.com/office/word/2010/wordml" w:rsidP="06608DB5" wp14:paraId="24067FCD" wp14:textId="7E4427E2">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3   </w:t>
      </w:r>
      <w:r w:rsidRPr="06608DB5" w:rsidR="1E47248A">
        <w:rPr>
          <w:rFonts w:ascii="Arial" w:hAnsi="Arial" w:eastAsia="Arial" w:cs="Arial"/>
          <w:b w:val="1"/>
          <w:bCs w:val="1"/>
          <w:i w:val="0"/>
          <w:iCs w:val="0"/>
          <w:caps w:val="0"/>
          <w:smallCaps w:val="0"/>
          <w:color w:val="1F3864"/>
          <w:sz w:val="20"/>
          <w:szCs w:val="20"/>
        </w:rPr>
        <w:t>FATORES DE RISCO DE FRAUDE (ITEM 24 E APÊNDICE 1)</w:t>
      </w:r>
    </w:p>
    <w:p xmlns:wp14="http://schemas.microsoft.com/office/word/2010/wordml" w:rsidP="06608DB5" wp14:paraId="1ED1DAF6" wp14:textId="1870DEB1">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Os fatores são organizados pelo “triângulo da fraude”: incentivo ou pressão, oportunidade e racionalização.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890"/>
        <w:gridCol w:w="5025"/>
        <w:gridCol w:w="1485"/>
        <w:gridCol w:w="1185"/>
      </w:tblGrid>
      <w:tr w:rsidR="06608DB5" w:rsidTr="06608DB5" w14:paraId="76291C98">
        <w:trPr>
          <w:trHeight w:val="300"/>
        </w:trPr>
        <w:tc>
          <w:tcPr>
            <w:tcW w:w="189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29AC5B6" w14:textId="08AE8B1C">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Categoria</w:t>
            </w:r>
          </w:p>
        </w:tc>
        <w:tc>
          <w:tcPr>
            <w:tcW w:w="502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4AC923FC" w14:textId="28DBA93F">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Fator identificado na Suzano</w:t>
            </w:r>
          </w:p>
        </w:tc>
        <w:tc>
          <w:tcPr>
            <w:tcW w:w="148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3E9E1B0F" w14:textId="6577858A">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Fonte</w:t>
            </w:r>
          </w:p>
        </w:tc>
        <w:tc>
          <w:tcPr>
            <w:tcW w:w="118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78C2728" w14:textId="4D91B587">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Nível</w:t>
            </w:r>
          </w:p>
        </w:tc>
      </w:tr>
      <w:tr w:rsidR="06608DB5" w:rsidTr="06608DB5" w14:paraId="74FD726F">
        <w:trPr>
          <w:trHeight w:val="300"/>
        </w:trPr>
        <w:tc>
          <w:tcPr>
            <w:tcW w:w="189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B853370" w14:textId="27E7F502">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Incentivo / pressão</w:t>
            </w:r>
          </w:p>
        </w:tc>
        <w:tc>
          <w:tcPr>
            <w:tcW w:w="502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1FEB14D" w14:textId="442BEB22">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Remuneração variável da administração: bônus de R$ 23,9 mi (R$ 14,9 mi em 2024) e pagamento baseado em ações de R$ 92,1 mi, ligados a metas de desempenho e ao preço da ação</w:t>
            </w:r>
          </w:p>
        </w:tc>
        <w:tc>
          <w:tcPr>
            <w:tcW w:w="148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CE16D94" w14:textId="5767F954">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 p. 149</w:t>
            </w:r>
          </w:p>
        </w:tc>
        <w:tc>
          <w:tcPr>
            <w:tcW w:w="118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06731BE" w14:textId="3BB1D81D">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Moderado</w:t>
            </w:r>
          </w:p>
        </w:tc>
      </w:tr>
      <w:tr w:rsidR="06608DB5" w:rsidTr="06608DB5" w14:paraId="2AC30238">
        <w:trPr>
          <w:trHeight w:val="300"/>
        </w:trPr>
        <w:tc>
          <w:tcPr>
            <w:tcW w:w="1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530AF208" w14:textId="18BCFFCA">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Incentivo / pressão</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498EB0BC" w14:textId="49AA15EF">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EBITDA ajustado 9% menor que em 2024 e alavancagem de 3,2x (dívida líquida/EBITDA), sob atenção do mercado e das agências de rating</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C009432" w14:textId="748B686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 p. 44</w:t>
            </w:r>
          </w:p>
        </w:tc>
        <w:tc>
          <w:tcPr>
            <w:tcW w:w="11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3D1D63E" w14:textId="08690D42">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Moderado</w:t>
            </w:r>
          </w:p>
        </w:tc>
      </w:tr>
      <w:tr w:rsidR="06608DB5" w:rsidTr="06608DB5" w14:paraId="5C8F9CB2">
        <w:trPr>
          <w:trHeight w:val="300"/>
        </w:trPr>
        <w:tc>
          <w:tcPr>
            <w:tcW w:w="1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949F61F" w14:textId="7B2BCD42">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Incentivo / pressão</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D681C37" w14:textId="506B8EBE">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38% da dívida atrelada a metas ESG (SLB e SLL): não cumprir metas encarece a dívida</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2992227" w14:textId="0985D41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 p. 47, 139</w:t>
            </w:r>
          </w:p>
        </w:tc>
        <w:tc>
          <w:tcPr>
            <w:tcW w:w="11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A151DB4" w14:textId="735D975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Moderado</w:t>
            </w:r>
          </w:p>
        </w:tc>
      </w:tr>
      <w:tr w:rsidR="06608DB5" w:rsidTr="06608DB5" w14:paraId="55BA5DFD">
        <w:trPr>
          <w:trHeight w:val="300"/>
        </w:trPr>
        <w:tc>
          <w:tcPr>
            <w:tcW w:w="1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54341F19" w14:textId="732A371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Oportunidade</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FEA41B7" w14:textId="67B95BCD">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Estimativas de alto julgamento: valor justo dos ativos biológicos (R$ 26,1 bi) e classificação das contingências (R$ 10,4 bi possíveis)</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4C0A6DA2" w14:textId="225E3CBD">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 p. 197–198</w:t>
            </w:r>
          </w:p>
        </w:tc>
        <w:tc>
          <w:tcPr>
            <w:tcW w:w="11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3D94E7B" w14:textId="31E1E4ED">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Alto</w:t>
            </w:r>
          </w:p>
        </w:tc>
      </w:tr>
      <w:tr w:rsidR="06608DB5" w:rsidTr="06608DB5" w14:paraId="7034559F">
        <w:trPr>
          <w:trHeight w:val="300"/>
        </w:trPr>
        <w:tc>
          <w:tcPr>
            <w:tcW w:w="1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4B30214C" w14:textId="68404CF1">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Oportunidade</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3729B14" w14:textId="78A707E6">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Operações complexas ou fora da rotina: acordo de joint venture com a Kimberly-Clark, permuta de madeira, derivativos e risco sacado (R$ 439 mi)</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1F1F649" w14:textId="4FD30C71">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 p. 40, 161</w:t>
            </w:r>
          </w:p>
        </w:tc>
        <w:tc>
          <w:tcPr>
            <w:tcW w:w="11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52A2A4EB" w14:textId="01AD753A">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Moderado</w:t>
            </w:r>
          </w:p>
        </w:tc>
      </w:tr>
      <w:tr w:rsidR="06608DB5" w:rsidTr="06608DB5" w14:paraId="1C50AA0C">
        <w:trPr>
          <w:trHeight w:val="300"/>
        </w:trPr>
        <w:tc>
          <w:tcPr>
            <w:tcW w:w="1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DB2EE8D" w14:textId="3947CE44">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Oportunidade</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464CC20" w14:textId="28FBBDD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Grupo com controladas em mais de 10 países, operações entre empresas do grupo e partes relacionadas (ex.: Ibema)</w:t>
            </w:r>
          </w:p>
        </w:tc>
        <w:tc>
          <w:tcPr>
            <w:tcW w:w="14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6E9CE26" w14:textId="4625CD2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 p. 100, 161</w:t>
            </w:r>
          </w:p>
        </w:tc>
        <w:tc>
          <w:tcPr>
            <w:tcW w:w="11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CD0CD98" w14:textId="5ED289E7">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Moderado</w:t>
            </w:r>
          </w:p>
        </w:tc>
      </w:tr>
      <w:tr w:rsidR="06608DB5" w:rsidTr="06608DB5" w14:paraId="7CCE3802">
        <w:trPr>
          <w:trHeight w:val="300"/>
        </w:trPr>
        <w:tc>
          <w:tcPr>
            <w:tcW w:w="189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5DC64A5E" w14:textId="22A3D254">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Racionalização / atitude</w:t>
            </w:r>
          </w:p>
        </w:tc>
        <w:tc>
          <w:tcPr>
            <w:tcW w:w="502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7CE0FC82" w14:textId="37FA792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Não identificados: Código de Ética, política anticorrupção e de prevenção a fraudes, canal de denúncias e CAE que monitora riscos de fraude</w:t>
            </w:r>
          </w:p>
        </w:tc>
        <w:tc>
          <w:tcPr>
            <w:tcW w:w="148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D302D65" w14:textId="7C3917E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F1 p. 49, 203–204</w:t>
            </w:r>
          </w:p>
        </w:tc>
        <w:tc>
          <w:tcPr>
            <w:tcW w:w="118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24267FDF" w14:textId="0F45487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Baixo</w:t>
            </w:r>
          </w:p>
        </w:tc>
      </w:tr>
    </w:tbl>
    <w:p xmlns:wp14="http://schemas.microsoft.com/office/word/2010/wordml" w:rsidP="06608DB5" wp14:paraId="651504B0" wp14:textId="5DA374A1">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4   </w:t>
      </w:r>
      <w:r w:rsidRPr="06608DB5" w:rsidR="1E47248A">
        <w:rPr>
          <w:rFonts w:ascii="Arial" w:hAnsi="Arial" w:eastAsia="Arial" w:cs="Arial"/>
          <w:b w:val="1"/>
          <w:bCs w:val="1"/>
          <w:i w:val="0"/>
          <w:iCs w:val="0"/>
          <w:caps w:val="0"/>
          <w:smallCaps w:val="0"/>
          <w:color w:val="1F3864"/>
          <w:sz w:val="20"/>
          <w:szCs w:val="20"/>
        </w:rPr>
        <w:t>RISCOS DE DISTORÇÃO RELEVANTE POR FRAUDE (ITENS 26–28)</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85"/>
        <w:gridCol w:w="4200"/>
        <w:gridCol w:w="1395"/>
        <w:gridCol w:w="1635"/>
      </w:tblGrid>
      <w:tr w:rsidR="06608DB5" w:rsidTr="06608DB5" w14:paraId="01702BDD">
        <w:trPr>
          <w:trHeight w:val="300"/>
        </w:trPr>
        <w:tc>
          <w:tcPr>
            <w:tcW w:w="238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28BF20A5" w14:textId="77677F26">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Risco</w:t>
            </w:r>
          </w:p>
        </w:tc>
        <w:tc>
          <w:tcPr>
            <w:tcW w:w="42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35D58270" w14:textId="1D40C057">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Como a fraude poderia ocorrer</w:t>
            </w:r>
          </w:p>
        </w:tc>
        <w:tc>
          <w:tcPr>
            <w:tcW w:w="13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22233D5" w14:textId="130B3623">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Afirmação</w:t>
            </w:r>
          </w:p>
        </w:tc>
        <w:tc>
          <w:tcPr>
            <w:tcW w:w="16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7B05F9F2" w14:textId="3D426E7A">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Significativo</w:t>
            </w:r>
          </w:p>
        </w:tc>
      </w:tr>
      <w:tr w:rsidR="06608DB5" w:rsidTr="06608DB5" w14:paraId="54396CC5">
        <w:trPr>
          <w:trHeight w:val="300"/>
        </w:trPr>
        <w:tc>
          <w:tcPr>
            <w:tcW w:w="238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2BBC8E9" w14:textId="6BCD158D">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Reconhecimento de receita (presumido – item 27)</w:t>
            </w:r>
          </w:p>
        </w:tc>
        <w:tc>
          <w:tcPr>
            <w:tcW w:w="420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A7C9AB5" w14:textId="16E2D067">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Registrar em dezembro exportações cujo controle só passa ao cliente em 2026, conforme o Incoterm, para melhorar o resultado do ano</w:t>
            </w:r>
          </w:p>
        </w:tc>
        <w:tc>
          <w:tcPr>
            <w:tcW w:w="139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B81AB20" w14:textId="434A2AF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Corte, ocorrência</w:t>
            </w:r>
          </w:p>
        </w:tc>
        <w:tc>
          <w:tcPr>
            <w:tcW w:w="163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4E8013D" w14:textId="469C51C6">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Sim</w:t>
            </w:r>
          </w:p>
        </w:tc>
      </w:tr>
      <w:tr w:rsidR="06608DB5" w:rsidTr="06608DB5" w14:paraId="44AB56DE">
        <w:trPr>
          <w:trHeight w:val="300"/>
        </w:trPr>
        <w:tc>
          <w:tcPr>
            <w:tcW w:w="23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A6C0E10" w14:textId="72193AF1">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Burla de controles pela administração (item 32)</w:t>
            </w:r>
          </w:p>
        </w:tc>
        <w:tc>
          <w:tcPr>
            <w:tcW w:w="42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5D1EF8D2" w14:textId="4109037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Lançamentos manuais sem suporte, ajustes de fechamento ou estimativas tendenciosas</w:t>
            </w:r>
          </w:p>
        </w:tc>
        <w:tc>
          <w:tcPr>
            <w:tcW w:w="13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166D686" w14:textId="70B43046">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Todas</w:t>
            </w:r>
          </w:p>
        </w:tc>
        <w:tc>
          <w:tcPr>
            <w:tcW w:w="16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7E5E465D" w14:textId="4641086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Sim</w:t>
            </w:r>
          </w:p>
        </w:tc>
      </w:tr>
      <w:tr w:rsidR="06608DB5" w:rsidTr="06608DB5" w14:paraId="14F37A09">
        <w:trPr>
          <w:trHeight w:val="300"/>
        </w:trPr>
        <w:tc>
          <w:tcPr>
            <w:tcW w:w="23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AAB3588" w14:textId="5B95D9F1">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Viés nas estimativas</w:t>
            </w:r>
          </w:p>
        </w:tc>
        <w:tc>
          <w:tcPr>
            <w:tcW w:w="42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A78F46D" w14:textId="517AB8FF">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Premissas otimistas no valor justo das florestas ou classificação de perdas prováveis como possíveis</w:t>
            </w:r>
          </w:p>
        </w:tc>
        <w:tc>
          <w:tcPr>
            <w:tcW w:w="13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7D0EEC7A" w14:textId="25066CD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Valorização</w:t>
            </w:r>
          </w:p>
        </w:tc>
        <w:tc>
          <w:tcPr>
            <w:tcW w:w="16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7C1176AB" w14:textId="32C46712">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Sim (PT 540)</w:t>
            </w:r>
          </w:p>
        </w:tc>
      </w:tr>
      <w:tr w:rsidR="06608DB5" w:rsidTr="06608DB5" w14:paraId="3F67E8F8">
        <w:trPr>
          <w:trHeight w:val="300"/>
        </w:trPr>
        <w:tc>
          <w:tcPr>
            <w:tcW w:w="238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508BD84E" w14:textId="33984402">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Apropriação indevida de ativos</w:t>
            </w:r>
          </w:p>
        </w:tc>
        <w:tc>
          <w:tcPr>
            <w:tcW w:w="420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4AEED1B6" w14:textId="6400883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Desvio de estoques de celulose ou madeira; pagamentos indevidos a fornecedores</w:t>
            </w:r>
          </w:p>
        </w:tc>
        <w:tc>
          <w:tcPr>
            <w:tcW w:w="139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50DB2580" w14:textId="20384EB4">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Existência</w:t>
            </w:r>
          </w:p>
        </w:tc>
        <w:tc>
          <w:tcPr>
            <w:tcW w:w="163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129D5062" w14:textId="7D711407">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Não – moderado; inventário no PT 501</w:t>
            </w:r>
          </w:p>
        </w:tc>
      </w:tr>
    </w:tbl>
    <w:p xmlns:wp14="http://schemas.microsoft.com/office/word/2010/wordml" w:rsidP="06608DB5" wp14:paraId="4E806481" wp14:textId="3BE547BC">
      <w:pPr>
        <w:bidi w:val="0"/>
        <w:spacing w:after="100" w:line="276" w:lineRule="auto"/>
        <w:rPr>
          <w:rFonts w:ascii="Arial" w:hAnsi="Arial" w:eastAsia="Arial" w:cs="Arial"/>
          <w:b w:val="0"/>
          <w:bCs w:val="0"/>
          <w:i w:val="0"/>
          <w:iCs w:val="0"/>
          <w:caps w:val="0"/>
          <w:smallCaps w:val="0"/>
          <w:color w:val="7F7F7F" w:themeColor="text1" w:themeTint="80" w:themeShade="FF"/>
          <w:sz w:val="19"/>
          <w:szCs w:val="19"/>
        </w:rPr>
      </w:pPr>
      <w:r w:rsidRPr="06608DB5" w:rsidR="1E47248A">
        <w:rPr>
          <w:rFonts w:ascii="Arial" w:hAnsi="Arial" w:eastAsia="Arial" w:cs="Arial"/>
          <w:b w:val="0"/>
          <w:bCs w:val="0"/>
          <w:i w:val="1"/>
          <w:iCs w:val="1"/>
          <w:caps w:val="0"/>
          <w:smallCaps w:val="0"/>
          <w:color w:val="7F7F7F" w:themeColor="text1" w:themeTint="80" w:themeShade="FF"/>
          <w:sz w:val="19"/>
          <w:szCs w:val="19"/>
        </w:rPr>
        <w:t>A presunção de risco na receita (item 27) não foi afastada: a receita é a maior linha do resultado e o corte depende de condições de embarque.</w:t>
      </w:r>
    </w:p>
    <w:p xmlns:wp14="http://schemas.microsoft.com/office/word/2010/wordml" w:rsidP="06608DB5" wp14:paraId="6158431F" wp14:textId="2C74DFDE">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5   </w:t>
      </w:r>
      <w:r w:rsidRPr="06608DB5" w:rsidR="1E47248A">
        <w:rPr>
          <w:rFonts w:ascii="Arial" w:hAnsi="Arial" w:eastAsia="Arial" w:cs="Arial"/>
          <w:b w:val="1"/>
          <w:bCs w:val="1"/>
          <w:i w:val="0"/>
          <w:iCs w:val="0"/>
          <w:caps w:val="0"/>
          <w:smallCaps w:val="0"/>
          <w:color w:val="1F3864"/>
          <w:sz w:val="20"/>
          <w:szCs w:val="20"/>
        </w:rPr>
        <w:t>RESPOSTAS PLANEJADAS (ITENS 29–33)</w:t>
      </w:r>
    </w:p>
    <w:p xmlns:wp14="http://schemas.microsoft.com/office/word/2010/wordml" w:rsidP="06608DB5" wp14:paraId="5DB47F0D" wp14:textId="3D8843A3">
      <w:pPr>
        <w:keepNext w:val="1"/>
        <w:bidi w:val="0"/>
        <w:spacing w:before="160" w:after="60"/>
        <w:jc w:val="both"/>
        <w:rPr>
          <w:rFonts w:ascii="Arial" w:hAnsi="Arial" w:eastAsia="Arial" w:cs="Arial"/>
          <w:b w:val="0"/>
          <w:bCs w:val="0"/>
          <w:i w:val="0"/>
          <w:iCs w:val="0"/>
          <w:caps w:val="0"/>
          <w:smallCaps w:val="0"/>
          <w:color w:val="262626" w:themeColor="text1" w:themeTint="D9" w:themeShade="FF"/>
          <w:sz w:val="19"/>
          <w:szCs w:val="19"/>
        </w:rPr>
      </w:pPr>
      <w:r w:rsidRPr="06608DB5" w:rsidR="22812BBF">
        <w:rPr>
          <w:rFonts w:ascii="Arial" w:hAnsi="Arial" w:eastAsia="Arial" w:cs="Arial"/>
          <w:b w:val="1"/>
          <w:bCs w:val="1"/>
          <w:i w:val="0"/>
          <w:iCs w:val="0"/>
          <w:caps w:val="0"/>
          <w:smallCaps w:val="0"/>
          <w:color w:val="262626" w:themeColor="text1" w:themeTint="D9" w:themeShade="FF"/>
          <w:sz w:val="19"/>
          <w:szCs w:val="19"/>
        </w:rPr>
        <w:t>5.1 Respostas</w:t>
      </w:r>
      <w:r w:rsidRPr="06608DB5" w:rsidR="1E47248A">
        <w:rPr>
          <w:rFonts w:ascii="Arial" w:hAnsi="Arial" w:eastAsia="Arial" w:cs="Arial"/>
          <w:b w:val="1"/>
          <w:bCs w:val="1"/>
          <w:i w:val="0"/>
          <w:iCs w:val="0"/>
          <w:caps w:val="0"/>
          <w:smallCaps w:val="0"/>
          <w:color w:val="262626" w:themeColor="text1" w:themeTint="D9" w:themeShade="FF"/>
          <w:sz w:val="19"/>
          <w:szCs w:val="19"/>
        </w:rPr>
        <w:t xml:space="preserve"> gerais</w:t>
      </w:r>
    </w:p>
    <w:p xmlns:wp14="http://schemas.microsoft.com/office/word/2010/wordml" w:rsidP="06608DB5" wp14:paraId="4CE4C3C9" wp14:textId="7CB8C498">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Discussão da equipe sobre onde as demonstrações são suscetíveis a fraude (item 16), com registro em ata.</w:t>
      </w:r>
    </w:p>
    <w:p xmlns:wp14="http://schemas.microsoft.com/office/word/2010/wordml" w:rsidP="06608DB5" wp14:paraId="480FAEF1" wp14:textId="3391E550">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Elemento de imprevisibilidade: testes em locais, contas e datas não esperadas pela administração.</w:t>
      </w:r>
    </w:p>
    <w:p xmlns:wp14="http://schemas.microsoft.com/office/word/2010/wordml" w:rsidP="06608DB5" wp14:paraId="2E4AC294" wp14:textId="59F339DF">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Equipe mais experiente e especialistas nas áreas de estimativas.</w:t>
      </w:r>
    </w:p>
    <w:p xmlns:wp14="http://schemas.microsoft.com/office/word/2010/wordml" w:rsidP="06608DB5" wp14:paraId="14E698C2" wp14:textId="382D008C">
      <w:pPr>
        <w:keepNext w:val="1"/>
        <w:bidi w:val="0"/>
        <w:spacing w:before="160" w:after="60"/>
        <w:jc w:val="both"/>
        <w:rPr>
          <w:rFonts w:ascii="Arial" w:hAnsi="Arial" w:eastAsia="Arial" w:cs="Arial"/>
          <w:b w:val="0"/>
          <w:bCs w:val="0"/>
          <w:i w:val="0"/>
          <w:iCs w:val="0"/>
          <w:caps w:val="0"/>
          <w:smallCaps w:val="0"/>
          <w:color w:val="262626" w:themeColor="text1" w:themeTint="D9" w:themeShade="FF"/>
          <w:sz w:val="19"/>
          <w:szCs w:val="19"/>
        </w:rPr>
      </w:pPr>
      <w:r w:rsidRPr="06608DB5" w:rsidR="3BD59D62">
        <w:rPr>
          <w:rFonts w:ascii="Arial" w:hAnsi="Arial" w:eastAsia="Arial" w:cs="Arial"/>
          <w:b w:val="1"/>
          <w:bCs w:val="1"/>
          <w:i w:val="0"/>
          <w:iCs w:val="0"/>
          <w:caps w:val="0"/>
          <w:smallCaps w:val="0"/>
          <w:color w:val="262626" w:themeColor="text1" w:themeTint="D9" w:themeShade="FF"/>
          <w:sz w:val="19"/>
          <w:szCs w:val="19"/>
        </w:rPr>
        <w:t>5.2 Reconhecimento</w:t>
      </w:r>
      <w:r w:rsidRPr="06608DB5" w:rsidR="1E47248A">
        <w:rPr>
          <w:rFonts w:ascii="Arial" w:hAnsi="Arial" w:eastAsia="Arial" w:cs="Arial"/>
          <w:b w:val="1"/>
          <w:bCs w:val="1"/>
          <w:i w:val="0"/>
          <w:iCs w:val="0"/>
          <w:caps w:val="0"/>
          <w:smallCaps w:val="0"/>
          <w:color w:val="262626" w:themeColor="text1" w:themeTint="D9" w:themeShade="FF"/>
          <w:sz w:val="19"/>
          <w:szCs w:val="19"/>
        </w:rPr>
        <w:t xml:space="preserve"> de receita</w:t>
      </w:r>
    </w:p>
    <w:p xmlns:wp14="http://schemas.microsoft.com/office/word/2010/wordml" w:rsidP="06608DB5" wp14:paraId="7AC9EF70" wp14:textId="624452EA">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Teste de corte: últimas vendas de dezembro/2025 e primeiras de janeiro/2026, comparando data do faturamento, conhecimento de embarque e Incoterm.</w:t>
      </w:r>
    </w:p>
    <w:p xmlns:wp14="http://schemas.microsoft.com/office/word/2010/wordml" w:rsidP="06608DB5" wp14:paraId="71E57D8F" wp14:textId="50637F64">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Procedimento analítico da receita por trimestre, volume e preço médio (PT 520).</w:t>
      </w:r>
    </w:p>
    <w:p xmlns:wp14="http://schemas.microsoft.com/office/word/2010/wordml" w:rsidP="06608DB5" wp14:paraId="4927D686" wp14:textId="581735B5">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Confirmação de saldos de clientes e análise de notas de crédito emitidas após o encerramento (PTs 505 e 560).</w:t>
      </w:r>
    </w:p>
    <w:p xmlns:wp14="http://schemas.microsoft.com/office/word/2010/wordml" w:rsidP="06608DB5" wp14:paraId="3C24AAF7" wp14:textId="33C7B3C2">
      <w:pPr>
        <w:keepNext w:val="1"/>
        <w:bidi w:val="0"/>
        <w:spacing w:before="160" w:after="60"/>
        <w:rPr>
          <w:rFonts w:ascii="Arial" w:hAnsi="Arial" w:eastAsia="Arial" w:cs="Arial"/>
          <w:b w:val="0"/>
          <w:bCs w:val="0"/>
          <w:i w:val="0"/>
          <w:iCs w:val="0"/>
          <w:caps w:val="0"/>
          <w:smallCaps w:val="0"/>
          <w:color w:val="262626" w:themeColor="text1" w:themeTint="D9" w:themeShade="FF"/>
          <w:sz w:val="19"/>
          <w:szCs w:val="19"/>
        </w:rPr>
      </w:pPr>
      <w:r w:rsidRPr="06608DB5" w:rsidR="0442670A">
        <w:rPr>
          <w:rFonts w:ascii="Arial" w:hAnsi="Arial" w:eastAsia="Arial" w:cs="Arial"/>
          <w:b w:val="1"/>
          <w:bCs w:val="1"/>
          <w:i w:val="0"/>
          <w:iCs w:val="0"/>
          <w:caps w:val="0"/>
          <w:smallCaps w:val="0"/>
          <w:color w:val="262626" w:themeColor="text1" w:themeTint="D9" w:themeShade="FF"/>
          <w:sz w:val="19"/>
          <w:szCs w:val="19"/>
        </w:rPr>
        <w:t>5.3 Teste</w:t>
      </w:r>
      <w:r w:rsidRPr="06608DB5" w:rsidR="1E47248A">
        <w:rPr>
          <w:rFonts w:ascii="Arial" w:hAnsi="Arial" w:eastAsia="Arial" w:cs="Arial"/>
          <w:b w:val="1"/>
          <w:bCs w:val="1"/>
          <w:i w:val="0"/>
          <w:iCs w:val="0"/>
          <w:caps w:val="0"/>
          <w:smallCaps w:val="0"/>
          <w:color w:val="262626" w:themeColor="text1" w:themeTint="D9" w:themeShade="FF"/>
          <w:sz w:val="19"/>
          <w:szCs w:val="19"/>
        </w:rPr>
        <w:t xml:space="preserve"> de lançamentos contábeis – item 33(a)</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590"/>
        <w:gridCol w:w="5025"/>
      </w:tblGrid>
      <w:tr w:rsidR="06608DB5" w:rsidTr="06608DB5" w14:paraId="38310FB6">
        <w:trPr>
          <w:trHeight w:val="300"/>
        </w:trPr>
        <w:tc>
          <w:tcPr>
            <w:tcW w:w="459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780C930C" w14:textId="2D1822E3">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Critério de seleção</w:t>
            </w:r>
          </w:p>
        </w:tc>
        <w:tc>
          <w:tcPr>
            <w:tcW w:w="502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089C6733" w14:textId="03986709">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Por que indica risco</w:t>
            </w:r>
          </w:p>
        </w:tc>
      </w:tr>
      <w:tr w:rsidR="06608DB5" w:rsidTr="06608DB5" w14:paraId="734DA682">
        <w:trPr>
          <w:trHeight w:val="300"/>
        </w:trPr>
        <w:tc>
          <w:tcPr>
            <w:tcW w:w="459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412A98F4" w14:textId="40656D34">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Lançamentos manuais feitos após o fechamento ou no último dia do período</w:t>
            </w:r>
          </w:p>
        </w:tc>
        <w:tc>
          <w:tcPr>
            <w:tcW w:w="502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10B09F7" w14:textId="5DD0270E">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Ajustes de última hora podem mudar o resultado</w:t>
            </w:r>
          </w:p>
        </w:tc>
      </w:tr>
      <w:tr w:rsidR="06608DB5" w:rsidTr="06608DB5" w14:paraId="55DDB23A">
        <w:trPr>
          <w:trHeight w:val="300"/>
        </w:trPr>
        <w:tc>
          <w:tcPr>
            <w:tcW w:w="45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32EFEED" w14:textId="2BC44BB6">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Lançamentos em fins de semana ou feriados</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D6E1E1A" w14:textId="7D261D04">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Fora da rotina normal de trabalho</w:t>
            </w:r>
          </w:p>
        </w:tc>
      </w:tr>
      <w:tr w:rsidR="06608DB5" w:rsidTr="06608DB5" w14:paraId="2DBFEAAF">
        <w:trPr>
          <w:trHeight w:val="300"/>
        </w:trPr>
        <w:tc>
          <w:tcPr>
            <w:tcW w:w="45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833DE5E" w14:textId="727AA744">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Valores redondos ou repetidos (ex.: terminados em 000)</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AF77E05" w14:textId="7324F685">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Típicos de estimativas manuais ou valores inventados</w:t>
            </w:r>
          </w:p>
        </w:tc>
      </w:tr>
      <w:tr w:rsidR="06608DB5" w:rsidTr="06608DB5" w14:paraId="76D56E0E">
        <w:trPr>
          <w:trHeight w:val="300"/>
        </w:trPr>
        <w:tc>
          <w:tcPr>
            <w:tcW w:w="45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D81E8E3" w14:textId="3A43578E">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Lançados por usuários sem alçada ou sem aprovação</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592C26B7" w14:textId="42FDEC7A">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Indicam falha de segregação de funções</w:t>
            </w:r>
          </w:p>
        </w:tc>
      </w:tr>
      <w:tr w:rsidR="06608DB5" w:rsidTr="06608DB5" w14:paraId="21771670">
        <w:trPr>
          <w:trHeight w:val="300"/>
        </w:trPr>
        <w:tc>
          <w:tcPr>
            <w:tcW w:w="45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7CF3C4E8" w14:textId="4878E605">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Contas raramente usadas ou descrição vazia</w:t>
            </w:r>
          </w:p>
        </w:tc>
        <w:tc>
          <w:tcPr>
            <w:tcW w:w="5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7DDBB7C8" w14:textId="25DDA19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Podem esconder ajustes indevidos</w:t>
            </w:r>
          </w:p>
        </w:tc>
      </w:tr>
      <w:tr w:rsidR="06608DB5" w:rsidTr="06608DB5" w14:paraId="6228B147">
        <w:trPr>
          <w:trHeight w:val="300"/>
        </w:trPr>
        <w:tc>
          <w:tcPr>
            <w:tcW w:w="459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1332B2DF" w14:textId="0CFA033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1"/>
                <w:bCs w:val="1"/>
                <w:i w:val="0"/>
                <w:iCs w:val="0"/>
                <w:color w:val="262626" w:themeColor="text1" w:themeTint="D9" w:themeShade="FF"/>
                <w:sz w:val="17"/>
                <w:szCs w:val="17"/>
              </w:rPr>
              <w:t>Valores acima da materialidade para execução (R$ 125,3 mi)</w:t>
            </w:r>
          </w:p>
        </w:tc>
        <w:tc>
          <w:tcPr>
            <w:tcW w:w="502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C846530" w14:textId="5F1CAF01">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Impacto relevante individual</w:t>
            </w:r>
          </w:p>
        </w:tc>
      </w:tr>
    </w:tbl>
    <w:p xmlns:wp14="http://schemas.microsoft.com/office/word/2010/wordml" w:rsidP="06608DB5" wp14:paraId="508C8172" wp14:textId="5EBFA670">
      <w:pPr>
        <w:bidi w:val="0"/>
        <w:spacing w:after="100" w:line="276" w:lineRule="auto"/>
        <w:jc w:val="both"/>
        <w:rPr>
          <w:rFonts w:ascii="Arial" w:hAnsi="Arial" w:eastAsia="Arial" w:cs="Arial"/>
          <w:b w:val="0"/>
          <w:bCs w:val="0"/>
          <w:i w:val="0"/>
          <w:iCs w:val="0"/>
          <w:caps w:val="0"/>
          <w:smallCaps w:val="0"/>
          <w:color w:val="7F7F7F" w:themeColor="text1" w:themeTint="80" w:themeShade="FF"/>
          <w:sz w:val="19"/>
          <w:szCs w:val="19"/>
        </w:rPr>
      </w:pPr>
      <w:r w:rsidRPr="06608DB5" w:rsidR="1E47248A">
        <w:rPr>
          <w:rFonts w:ascii="Arial" w:hAnsi="Arial" w:eastAsia="Arial" w:cs="Arial"/>
          <w:b w:val="0"/>
          <w:bCs w:val="0"/>
          <w:i w:val="1"/>
          <w:iCs w:val="1"/>
          <w:caps w:val="0"/>
          <w:smallCaps w:val="0"/>
          <w:color w:val="7F7F7F" w:themeColor="text1" w:themeTint="80" w:themeShade="FF"/>
          <w:sz w:val="19"/>
          <w:szCs w:val="19"/>
        </w:rPr>
        <w:t xml:space="preserve">Execução: sem acesso </w:t>
      </w:r>
      <w:r w:rsidRPr="06608DB5" w:rsidR="4BBA9F4D">
        <w:rPr>
          <w:rFonts w:ascii="Arial" w:hAnsi="Arial" w:eastAsia="Arial" w:cs="Arial"/>
          <w:b w:val="0"/>
          <w:bCs w:val="0"/>
          <w:i w:val="1"/>
          <w:iCs w:val="1"/>
          <w:caps w:val="0"/>
          <w:smallCaps w:val="0"/>
          <w:color w:val="7F7F7F" w:themeColor="text1" w:themeTint="80" w:themeShade="FF"/>
          <w:sz w:val="19"/>
          <w:szCs w:val="19"/>
        </w:rPr>
        <w:t xml:space="preserve">ao </w:t>
      </w:r>
      <w:r w:rsidRPr="06608DB5" w:rsidR="4629E16C">
        <w:rPr>
          <w:rFonts w:ascii="Arial" w:hAnsi="Arial" w:eastAsia="Arial" w:cs="Arial"/>
          <w:b w:val="0"/>
          <w:bCs w:val="0"/>
          <w:i w:val="1"/>
          <w:iCs w:val="1"/>
          <w:caps w:val="0"/>
          <w:smallCaps w:val="0"/>
          <w:color w:val="7F7F7F" w:themeColor="text1" w:themeTint="80" w:themeShade="FF"/>
          <w:sz w:val="19"/>
          <w:szCs w:val="19"/>
        </w:rPr>
        <w:t>razão geral real</w:t>
      </w:r>
      <w:r w:rsidRPr="06608DB5" w:rsidR="1E47248A">
        <w:rPr>
          <w:rFonts w:ascii="Arial" w:hAnsi="Arial" w:eastAsia="Arial" w:cs="Arial"/>
          <w:b w:val="0"/>
          <w:bCs w:val="0"/>
          <w:i w:val="1"/>
          <w:iCs w:val="1"/>
          <w:caps w:val="0"/>
          <w:smallCaps w:val="0"/>
          <w:color w:val="7F7F7F" w:themeColor="text1" w:themeTint="80" w:themeShade="FF"/>
          <w:sz w:val="19"/>
          <w:szCs w:val="19"/>
        </w:rPr>
        <w:t>, os critérios serão aplicados à base simulada (SIM) do imobilizado no PT 530, com registro das anomalias inseridas e encontradas.</w:t>
      </w:r>
    </w:p>
    <w:p xmlns:wp14="http://schemas.microsoft.com/office/word/2010/wordml" w:rsidP="06608DB5" wp14:paraId="7B33BEC7" wp14:textId="01C6F95C">
      <w:pPr>
        <w:keepNext w:val="1"/>
        <w:bidi w:val="0"/>
        <w:spacing w:before="160" w:after="60"/>
        <w:rPr>
          <w:rFonts w:ascii="Arial" w:hAnsi="Arial" w:eastAsia="Arial" w:cs="Arial"/>
          <w:b w:val="0"/>
          <w:bCs w:val="0"/>
          <w:i w:val="0"/>
          <w:iCs w:val="0"/>
          <w:caps w:val="0"/>
          <w:smallCaps w:val="0"/>
          <w:color w:val="262626" w:themeColor="text1" w:themeTint="D9" w:themeShade="FF"/>
          <w:sz w:val="19"/>
          <w:szCs w:val="19"/>
        </w:rPr>
      </w:pPr>
      <w:r w:rsidRPr="06608DB5" w:rsidR="33685EF1">
        <w:rPr>
          <w:rFonts w:ascii="Arial" w:hAnsi="Arial" w:eastAsia="Arial" w:cs="Arial"/>
          <w:b w:val="1"/>
          <w:bCs w:val="1"/>
          <w:i w:val="0"/>
          <w:iCs w:val="0"/>
          <w:caps w:val="0"/>
          <w:smallCaps w:val="0"/>
          <w:color w:val="262626" w:themeColor="text1" w:themeTint="D9" w:themeShade="FF"/>
          <w:sz w:val="19"/>
          <w:szCs w:val="19"/>
        </w:rPr>
        <w:t>5.4 Estimativas</w:t>
      </w:r>
      <w:r w:rsidRPr="06608DB5" w:rsidR="1E47248A">
        <w:rPr>
          <w:rFonts w:ascii="Arial" w:hAnsi="Arial" w:eastAsia="Arial" w:cs="Arial"/>
          <w:b w:val="1"/>
          <w:bCs w:val="1"/>
          <w:i w:val="0"/>
          <w:iCs w:val="0"/>
          <w:caps w:val="0"/>
          <w:smallCaps w:val="0"/>
          <w:color w:val="262626" w:themeColor="text1" w:themeTint="D9" w:themeShade="FF"/>
          <w:sz w:val="19"/>
          <w:szCs w:val="19"/>
        </w:rPr>
        <w:t xml:space="preserve"> e operações não usuais – itens 33(b) e (c)</w:t>
      </w:r>
    </w:p>
    <w:p xmlns:wp14="http://schemas.microsoft.com/office/word/2010/wordml" w:rsidP="06608DB5" wp14:paraId="5D63B195" wp14:textId="7D614536">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Revisão retrospectiva: comparar as premissas dos ativos biológicos e das contingências de 2024 com o que ocorreu em 2025 (PT 540).</w:t>
      </w:r>
    </w:p>
    <w:p xmlns:wp14="http://schemas.microsoft.com/office/word/2010/wordml" w:rsidP="06608DB5" wp14:paraId="7B31453F" wp14:textId="40408508">
      <w:pPr>
        <w:pStyle w:val="ListParagraph"/>
        <w:numPr>
          <w:ilvl w:val="0"/>
          <w:numId w:val="8"/>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0"/>
          <w:bCs w:val="0"/>
          <w:i w:val="0"/>
          <w:iCs w:val="0"/>
          <w:caps w:val="0"/>
          <w:smallCaps w:val="0"/>
          <w:color w:val="262626" w:themeColor="text1" w:themeTint="D9" w:themeShade="FF"/>
          <w:sz w:val="19"/>
          <w:szCs w:val="19"/>
        </w:rPr>
        <w:t>Avaliar a justificativa de negócio da joint venture com a Kimberly-Clark, da permuta de madeira e das operações de risco sacado.</w:t>
      </w:r>
    </w:p>
    <w:p xmlns:wp14="http://schemas.microsoft.com/office/word/2010/wordml" w:rsidP="06608DB5" wp14:paraId="7A122790" wp14:textId="2F66A57F">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6   </w:t>
      </w:r>
      <w:r w:rsidRPr="06608DB5" w:rsidR="1E47248A">
        <w:rPr>
          <w:rFonts w:ascii="Arial" w:hAnsi="Arial" w:eastAsia="Arial" w:cs="Arial"/>
          <w:b w:val="1"/>
          <w:bCs w:val="1"/>
          <w:i w:val="0"/>
          <w:iCs w:val="0"/>
          <w:caps w:val="0"/>
          <w:smallCaps w:val="0"/>
          <w:color w:val="1F3864"/>
          <w:sz w:val="20"/>
          <w:szCs w:val="20"/>
        </w:rPr>
        <w:t>PROCEDIMENTOS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890"/>
        <w:gridCol w:w="2700"/>
        <w:gridCol w:w="2025"/>
      </w:tblGrid>
      <w:tr w:rsidR="06608DB5" w:rsidTr="06608DB5" w14:paraId="0B73B08A">
        <w:trPr>
          <w:trHeight w:val="300"/>
        </w:trPr>
        <w:tc>
          <w:tcPr>
            <w:tcW w:w="489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12374616" w14:textId="22D41493">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Procedimento</w:t>
            </w:r>
          </w:p>
        </w:tc>
        <w:tc>
          <w:tcPr>
            <w:tcW w:w="27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5EAF6CEF" w14:textId="1D2EB3C6">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Classificação</w:t>
            </w:r>
          </w:p>
        </w:tc>
        <w:tc>
          <w:tcPr>
            <w:tcW w:w="202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5DD59EF7" w14:textId="602C844B">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Evidência</w:t>
            </w:r>
          </w:p>
        </w:tc>
      </w:tr>
      <w:tr w:rsidR="06608DB5" w:rsidTr="06608DB5" w14:paraId="1BCFEA6F">
        <w:trPr>
          <w:trHeight w:val="300"/>
        </w:trPr>
        <w:tc>
          <w:tcPr>
            <w:tcW w:w="489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E10E7B7" w14:textId="4C388A9F">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Identificar fatores de risco de fraude em fontes públicas</w:t>
            </w:r>
          </w:p>
        </w:tc>
        <w:tc>
          <w:tcPr>
            <w:tcW w:w="270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3CCE089" w14:textId="7F2878AC">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Realizado com evidência pública</w:t>
            </w:r>
          </w:p>
        </w:tc>
        <w:tc>
          <w:tcPr>
            <w:tcW w:w="202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44DB9792" w14:textId="6747D35F">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Seção 3</w:t>
            </w:r>
          </w:p>
        </w:tc>
      </w:tr>
      <w:tr w:rsidR="06608DB5" w:rsidTr="06608DB5" w14:paraId="55582A82">
        <w:trPr>
          <w:trHeight w:val="300"/>
        </w:trPr>
        <w:tc>
          <w:tcPr>
            <w:tcW w:w="4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76DBB100" w14:textId="7BD09587">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Avaliar os riscos de fraude e a presunção sobre a receita</w:t>
            </w:r>
          </w:p>
        </w:tc>
        <w:tc>
          <w:tcPr>
            <w:tcW w:w="27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7C54349" w14:textId="320F7EAA">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Realizado com evidência pública</w:t>
            </w:r>
          </w:p>
        </w:tc>
        <w:tc>
          <w:tcPr>
            <w:tcW w:w="2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21EAE5A" w14:textId="1B7A6D21">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Seção 4</w:t>
            </w:r>
          </w:p>
        </w:tc>
      </w:tr>
      <w:tr w:rsidR="06608DB5" w:rsidTr="06608DB5" w14:paraId="2CB154AA">
        <w:trPr>
          <w:trHeight w:val="300"/>
        </w:trPr>
        <w:tc>
          <w:tcPr>
            <w:tcW w:w="4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396C7F60" w14:textId="3DFC63FB">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Indagações à administração, à auditoria interna e à governança (itens 18–22)</w:t>
            </w:r>
          </w:p>
        </w:tc>
        <w:tc>
          <w:tcPr>
            <w:tcW w:w="27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0E6271D1" w14:textId="6D170CCB">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Planejado por falta de acesso</w:t>
            </w:r>
          </w:p>
        </w:tc>
        <w:tc>
          <w:tcPr>
            <w:tcW w:w="2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47C6E58E" w14:textId="23401F29">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w:t>
            </w:r>
          </w:p>
        </w:tc>
      </w:tr>
      <w:tr w:rsidR="06608DB5" w:rsidTr="06608DB5" w14:paraId="187F7CAA">
        <w:trPr>
          <w:trHeight w:val="300"/>
        </w:trPr>
        <w:tc>
          <w:tcPr>
            <w:tcW w:w="4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A29ADAF" w14:textId="7DB589FF">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Teste de corte da receita e análise de notas de crédito</w:t>
            </w:r>
          </w:p>
        </w:tc>
        <w:tc>
          <w:tcPr>
            <w:tcW w:w="27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6C626BF9" w14:textId="5115DF5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Planejado por falta de acesso</w:t>
            </w:r>
          </w:p>
        </w:tc>
        <w:tc>
          <w:tcPr>
            <w:tcW w:w="2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46C1BEE" w14:textId="6214C0F3">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 PTs 505, 560</w:t>
            </w:r>
          </w:p>
        </w:tc>
      </w:tr>
      <w:tr w:rsidR="06608DB5" w:rsidTr="06608DB5" w14:paraId="48E7151D">
        <w:trPr>
          <w:trHeight w:val="300"/>
        </w:trPr>
        <w:tc>
          <w:tcPr>
            <w:tcW w:w="489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28BBC436" w14:textId="16738DC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Teste de lançamentos contábeis</w:t>
            </w:r>
          </w:p>
        </w:tc>
        <w:tc>
          <w:tcPr>
            <w:tcW w:w="270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45A9DDFF" w14:textId="452F2FBE">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Simulado para fins didáticos</w:t>
            </w:r>
          </w:p>
        </w:tc>
        <w:tc>
          <w:tcPr>
            <w:tcW w:w="20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06608DB5" w:rsidP="06608DB5" w:rsidRDefault="06608DB5" w14:paraId="191892DB" w14:textId="1459CF25">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 PT 530 e anexo A2</w:t>
            </w:r>
          </w:p>
        </w:tc>
      </w:tr>
      <w:tr w:rsidR="06608DB5" w:rsidTr="06608DB5" w14:paraId="0C040302">
        <w:trPr>
          <w:trHeight w:val="300"/>
        </w:trPr>
        <w:tc>
          <w:tcPr>
            <w:tcW w:w="489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133D7775" w14:textId="37420556">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Revisão retrospectiva das estimativas</w:t>
            </w:r>
          </w:p>
        </w:tc>
        <w:tc>
          <w:tcPr>
            <w:tcW w:w="270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05DE21F1" w14:textId="535A8BA5">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Realizado com evidência pública, parcialmente</w:t>
            </w:r>
          </w:p>
        </w:tc>
        <w:tc>
          <w:tcPr>
            <w:tcW w:w="202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27FE3A37" w14:textId="3ECA950B">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 PT 540</w:t>
            </w:r>
          </w:p>
        </w:tc>
      </w:tr>
    </w:tbl>
    <w:p xmlns:wp14="http://schemas.microsoft.com/office/word/2010/wordml" w:rsidP="06608DB5" wp14:paraId="67BA9E10" wp14:textId="2CCFD085">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7   </w:t>
      </w:r>
      <w:r w:rsidRPr="06608DB5" w:rsidR="1E47248A">
        <w:rPr>
          <w:rFonts w:ascii="Arial" w:hAnsi="Arial" w:eastAsia="Arial" w:cs="Arial"/>
          <w:b w:val="1"/>
          <w:bCs w:val="1"/>
          <w:i w:val="0"/>
          <w:iCs w:val="0"/>
          <w:caps w:val="0"/>
          <w:smallCaps w:val="0"/>
          <w:color w:val="1F3864"/>
          <w:sz w:val="20"/>
          <w:szCs w:val="20"/>
        </w:rPr>
        <w:t>CONCLUSÃO E LIMITAÇÕES</w:t>
      </w:r>
    </w:p>
    <w:p xmlns:wp14="http://schemas.microsoft.com/office/word/2010/wordml" w:rsidP="06608DB5" wp14:paraId="6E9884B6" wp14:textId="73441E88">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1"/>
          <w:bCs w:val="1"/>
          <w:i w:val="0"/>
          <w:iCs w:val="0"/>
          <w:caps w:val="0"/>
          <w:smallCaps w:val="0"/>
          <w:color w:val="262626" w:themeColor="text1" w:themeTint="D9" w:themeShade="FF"/>
          <w:sz w:val="19"/>
          <w:szCs w:val="19"/>
        </w:rPr>
        <w:t xml:space="preserve">Resultado. </w:t>
      </w:r>
      <w:r w:rsidRPr="06608DB5" w:rsidR="1E47248A">
        <w:rPr>
          <w:rFonts w:ascii="Arial" w:hAnsi="Arial" w:eastAsia="Arial" w:cs="Arial"/>
          <w:b w:val="0"/>
          <w:bCs w:val="0"/>
          <w:i w:val="0"/>
          <w:iCs w:val="0"/>
          <w:caps w:val="0"/>
          <w:smallCaps w:val="0"/>
          <w:color w:val="262626" w:themeColor="text1" w:themeTint="D9" w:themeShade="FF"/>
          <w:sz w:val="19"/>
          <w:szCs w:val="19"/>
        </w:rPr>
        <w:t>Há fatores de incentivo e de oportunidade moderados a altos; não há indícios de fraude nas fontes públicas. Os riscos de fraude na receita e de burla de controles foram mantidos como significativos. Sem exceções.</w:t>
      </w:r>
    </w:p>
    <w:p xmlns:wp14="http://schemas.microsoft.com/office/word/2010/wordml" w:rsidP="06608DB5" wp14:paraId="0973DB9E" wp14:textId="0449ECF8">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1"/>
          <w:bCs w:val="1"/>
          <w:i w:val="0"/>
          <w:iCs w:val="0"/>
          <w:caps w:val="0"/>
          <w:smallCaps w:val="0"/>
          <w:color w:val="262626" w:themeColor="text1" w:themeTint="D9" w:themeShade="FF"/>
          <w:sz w:val="19"/>
          <w:szCs w:val="19"/>
        </w:rPr>
        <w:t xml:space="preserve">Limitações. </w:t>
      </w:r>
      <w:r w:rsidRPr="06608DB5" w:rsidR="1E47248A">
        <w:rPr>
          <w:rFonts w:ascii="Arial" w:hAnsi="Arial" w:eastAsia="Arial" w:cs="Arial"/>
          <w:b w:val="0"/>
          <w:bCs w:val="0"/>
          <w:i w:val="0"/>
          <w:iCs w:val="0"/>
          <w:caps w:val="0"/>
          <w:smallCaps w:val="0"/>
          <w:color w:val="262626" w:themeColor="text1" w:themeTint="D9" w:themeShade="FF"/>
          <w:sz w:val="19"/>
          <w:szCs w:val="19"/>
        </w:rPr>
        <w:t xml:space="preserve">Sem acesso </w:t>
      </w:r>
      <w:bookmarkStart w:name="_Int_rpkpRZH2" w:id="1392825847"/>
      <w:r w:rsidRPr="06608DB5" w:rsidR="76DA82A2">
        <w:rPr>
          <w:rFonts w:ascii="Arial" w:hAnsi="Arial" w:eastAsia="Arial" w:cs="Arial"/>
          <w:b w:val="0"/>
          <w:bCs w:val="0"/>
          <w:i w:val="0"/>
          <w:iCs w:val="0"/>
          <w:caps w:val="0"/>
          <w:smallCaps w:val="0"/>
          <w:color w:val="262626" w:themeColor="text1" w:themeTint="D9" w:themeShade="FF"/>
          <w:sz w:val="19"/>
          <w:szCs w:val="19"/>
        </w:rPr>
        <w:t>ao razão geral</w:t>
      </w:r>
      <w:bookmarkEnd w:id="1392825847"/>
      <w:r w:rsidRPr="06608DB5" w:rsidR="1E47248A">
        <w:rPr>
          <w:rFonts w:ascii="Arial" w:hAnsi="Arial" w:eastAsia="Arial" w:cs="Arial"/>
          <w:b w:val="0"/>
          <w:bCs w:val="0"/>
          <w:i w:val="0"/>
          <w:iCs w:val="0"/>
          <w:caps w:val="0"/>
          <w:smallCaps w:val="0"/>
          <w:color w:val="262626" w:themeColor="text1" w:themeTint="D9" w:themeShade="FF"/>
          <w:sz w:val="19"/>
          <w:szCs w:val="19"/>
        </w:rPr>
        <w:t>, às pessoas e ao canal de denúncias. O teste de lançamentos em dados simulados demonstra o método, mas não fornece evidência sobre a Suzano.</w:t>
      </w:r>
    </w:p>
    <w:p xmlns:wp14="http://schemas.microsoft.com/office/word/2010/wordml" w:rsidP="06608DB5" wp14:paraId="692B90A8" wp14:textId="0D296953">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06608DB5" w:rsidR="1E47248A">
        <w:rPr>
          <w:rFonts w:ascii="Arial" w:hAnsi="Arial" w:eastAsia="Arial" w:cs="Arial"/>
          <w:b w:val="1"/>
          <w:bCs w:val="1"/>
          <w:i w:val="0"/>
          <w:iCs w:val="0"/>
          <w:caps w:val="0"/>
          <w:smallCaps w:val="0"/>
          <w:color w:val="262626" w:themeColor="text1" w:themeTint="D9" w:themeShade="FF"/>
          <w:sz w:val="19"/>
          <w:szCs w:val="19"/>
        </w:rPr>
        <w:t xml:space="preserve">Referências cruzadas. </w:t>
      </w:r>
      <w:r w:rsidRPr="06608DB5" w:rsidR="1E47248A">
        <w:rPr>
          <w:rFonts w:ascii="Arial" w:hAnsi="Arial" w:eastAsia="Arial" w:cs="Arial"/>
          <w:b w:val="0"/>
          <w:bCs w:val="0"/>
          <w:i w:val="0"/>
          <w:iCs w:val="0"/>
          <w:caps w:val="0"/>
          <w:smallCaps w:val="0"/>
          <w:color w:val="262626" w:themeColor="text1" w:themeTint="D9" w:themeShade="FF"/>
          <w:sz w:val="19"/>
          <w:szCs w:val="19"/>
        </w:rPr>
        <w:t>PT 315 (riscos), PT 330 (respostas), PT 505, PT 520, PT 530, PT 540, PT 550 e PT 560.</w:t>
      </w:r>
    </w:p>
    <w:p xmlns:wp14="http://schemas.microsoft.com/office/word/2010/wordml" w:rsidP="06608DB5" wp14:paraId="77EFCEB9" wp14:textId="6EC968C1">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06608DB5" w:rsidR="1E47248A">
        <w:rPr>
          <w:rFonts w:ascii="Arial" w:hAnsi="Arial" w:eastAsia="Arial" w:cs="Arial"/>
          <w:b w:val="1"/>
          <w:bCs w:val="1"/>
          <w:i w:val="0"/>
          <w:iCs w:val="0"/>
          <w:caps w:val="0"/>
          <w:smallCaps w:val="0"/>
          <w:color w:val="7F7F7F" w:themeColor="text1" w:themeTint="80" w:themeShade="FF"/>
          <w:sz w:val="20"/>
          <w:szCs w:val="20"/>
        </w:rPr>
        <w:t xml:space="preserve">8   </w:t>
      </w:r>
      <w:r w:rsidRPr="06608DB5" w:rsidR="1E47248A">
        <w:rPr>
          <w:rFonts w:ascii="Arial" w:hAnsi="Arial" w:eastAsia="Arial" w:cs="Arial"/>
          <w:b w:val="1"/>
          <w:bCs w:val="1"/>
          <w:i w:val="0"/>
          <w:iCs w:val="0"/>
          <w:caps w:val="0"/>
          <w:smallCaps w:val="0"/>
          <w:color w:val="1F3864"/>
          <w:sz w:val="20"/>
          <w:szCs w:val="20"/>
        </w:rPr>
        <w:t>PREPARAÇÃO E REVISÃO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195"/>
        <w:gridCol w:w="1800"/>
        <w:gridCol w:w="2835"/>
        <w:gridCol w:w="1800"/>
      </w:tblGrid>
      <w:tr w:rsidR="06608DB5" w:rsidTr="06608DB5" w14:paraId="3B40143C">
        <w:trPr>
          <w:trHeight w:val="300"/>
        </w:trPr>
        <w:tc>
          <w:tcPr>
            <w:tcW w:w="31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28940EEC" w14:textId="1426A05A">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Preparado por (matrícula)</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0CE4070F" w14:textId="39B5DFDB">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Data</w:t>
            </w:r>
          </w:p>
        </w:tc>
        <w:tc>
          <w:tcPr>
            <w:tcW w:w="28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38DDE589" w14:textId="25D597E1">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Revisado por</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60C91EF" w14:textId="56D57893">
            <w:pPr>
              <w:bidi w:val="0"/>
              <w:spacing w:after="0" w:line="252" w:lineRule="auto"/>
              <w:rPr>
                <w:rFonts w:ascii="Arial" w:hAnsi="Arial" w:eastAsia="Arial" w:cs="Arial"/>
                <w:b w:val="0"/>
                <w:bCs w:val="0"/>
                <w:i w:val="0"/>
                <w:iCs w:val="0"/>
                <w:color w:val="7F7F7F" w:themeColor="text1" w:themeTint="80" w:themeShade="FF"/>
                <w:sz w:val="16"/>
                <w:szCs w:val="16"/>
              </w:rPr>
            </w:pPr>
            <w:r w:rsidRPr="06608DB5" w:rsidR="06608DB5">
              <w:rPr>
                <w:rFonts w:ascii="Arial" w:hAnsi="Arial" w:eastAsia="Arial" w:cs="Arial"/>
                <w:b w:val="1"/>
                <w:bCs w:val="1"/>
                <w:i w:val="0"/>
                <w:iCs w:val="0"/>
                <w:color w:val="7F7F7F" w:themeColor="text1" w:themeTint="80" w:themeShade="FF"/>
                <w:sz w:val="16"/>
                <w:szCs w:val="16"/>
              </w:rPr>
              <w:t>Data da revisão</w:t>
            </w:r>
          </w:p>
        </w:tc>
      </w:tr>
      <w:tr w:rsidR="06608DB5" w:rsidTr="06608DB5" w14:paraId="31510010">
        <w:trPr>
          <w:trHeight w:val="300"/>
        </w:trPr>
        <w:tc>
          <w:tcPr>
            <w:tcW w:w="31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F9ED86E" w14:textId="100B7677">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241003769</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67F223F9" w14:textId="7766F768">
            <w:pPr>
              <w:bidi w:val="0"/>
              <w:spacing w:after="0" w:line="252" w:lineRule="auto"/>
              <w:rPr>
                <w:rFonts w:ascii="Arial" w:hAnsi="Arial" w:eastAsia="Arial" w:cs="Arial"/>
                <w:b w:val="0"/>
                <w:bCs w:val="0"/>
                <w:i w:val="0"/>
                <w:iCs w:val="0"/>
                <w:color w:val="262626" w:themeColor="text1" w:themeTint="D9" w:themeShade="FF"/>
                <w:sz w:val="17"/>
                <w:szCs w:val="17"/>
              </w:rPr>
            </w:pPr>
            <w:r w:rsidRPr="06608DB5" w:rsidR="06608DB5">
              <w:rPr>
                <w:rFonts w:ascii="Arial" w:hAnsi="Arial" w:eastAsia="Arial" w:cs="Arial"/>
                <w:b w:val="0"/>
                <w:bCs w:val="0"/>
                <w:i w:val="0"/>
                <w:iCs w:val="0"/>
                <w:color w:val="262626" w:themeColor="text1" w:themeTint="D9" w:themeShade="FF"/>
                <w:sz w:val="17"/>
                <w:szCs w:val="17"/>
              </w:rPr>
              <w:t>20/10/2026</w:t>
            </w:r>
          </w:p>
        </w:tc>
        <w:tc>
          <w:tcPr>
            <w:tcW w:w="28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20ECE4A8" w14:textId="6C2E3AFB">
            <w:pPr>
              <w:bidi w:val="0"/>
              <w:spacing w:after="0" w:line="252" w:lineRule="auto"/>
              <w:rPr>
                <w:rFonts w:ascii="Arial" w:hAnsi="Arial" w:eastAsia="Arial" w:cs="Arial"/>
                <w:b w:val="0"/>
                <w:bCs w:val="0"/>
                <w:i w:val="0"/>
                <w:iCs w:val="0"/>
                <w:color w:val="262626" w:themeColor="text1" w:themeTint="D9" w:themeShade="FF"/>
                <w:sz w:val="19"/>
                <w:szCs w:val="19"/>
              </w:rPr>
            </w:pP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06608DB5" w:rsidP="06608DB5" w:rsidRDefault="06608DB5" w14:paraId="461C8656" w14:textId="6E91B8DC">
            <w:pPr>
              <w:bidi w:val="0"/>
              <w:spacing w:after="0" w:line="252" w:lineRule="auto"/>
              <w:rPr>
                <w:rFonts w:ascii="Arial" w:hAnsi="Arial" w:eastAsia="Arial" w:cs="Arial"/>
                <w:b w:val="0"/>
                <w:bCs w:val="0"/>
                <w:i w:val="0"/>
                <w:iCs w:val="0"/>
                <w:color w:val="262626" w:themeColor="text1" w:themeTint="D9" w:themeShade="FF"/>
                <w:sz w:val="19"/>
                <w:szCs w:val="19"/>
              </w:rPr>
            </w:pPr>
          </w:p>
        </w:tc>
      </w:tr>
    </w:tbl>
    <w:p xmlns:wp14="http://schemas.microsoft.com/office/word/2010/wordml" w:rsidP="06608DB5" wp14:paraId="5CB991BC" wp14:textId="79DAF30F">
      <w:pPr>
        <w:bidi w:val="0"/>
        <w:spacing w:after="40"/>
        <w:rPr>
          <w:rFonts w:ascii="Arial" w:hAnsi="Arial" w:eastAsia="Arial" w:cs="Arial"/>
          <w:b w:val="0"/>
          <w:bCs w:val="0"/>
          <w:i w:val="0"/>
          <w:iCs w:val="0"/>
          <w:caps w:val="0"/>
          <w:smallCaps w:val="0"/>
          <w:color w:val="262626" w:themeColor="text1" w:themeTint="D9" w:themeShade="FF"/>
          <w:sz w:val="19"/>
          <w:szCs w:val="19"/>
        </w:rPr>
      </w:pPr>
    </w:p>
    <w:p xmlns:wp14="http://schemas.microsoft.com/office/word/2010/wordml" w:rsidP="06608DB5" wp14:paraId="1E207724" wp14:textId="602B6E59">
      <w:pPr>
        <w:pStyle w:val="Normal"/>
        <w:bidi w:val="0"/>
        <w:spacing w:after="40"/>
        <w:rPr>
          <w:rFonts w:ascii="Arial" w:hAnsi="Arial" w:eastAsia="Arial" w:cs="Arial"/>
          <w:b w:val="0"/>
          <w:bCs w:val="0"/>
          <w:i w:val="0"/>
          <w:iCs w:val="0"/>
          <w:caps w:val="0"/>
          <w:smallCaps w:val="0"/>
          <w:color w:val="262626" w:themeColor="text1" w:themeTint="D9" w:themeShade="FF"/>
          <w:sz w:val="19"/>
          <w:szCs w:val="19"/>
        </w:rPr>
      </w:pPr>
    </w:p>
    <w:sectPr>
      <w:pgSz w:w="11906" w:h="16838" w:orient="portrait"/>
      <w:pgMar w:top="1440" w:right="1440" w:bottom="1440" w:left="1440" w:header="720" w:footer="720" w:gutter="0"/>
      <w:cols w:space="720"/>
      <w:docGrid w:linePitch="360"/>
      <w:headerReference w:type="default" r:id="Rd118f1e6e0d84097"/>
      <w:footerReference w:type="default" r:id="R4a6f9503f90a45d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6608DB5" w:rsidTr="06608DB5" w14:paraId="31351362">
      <w:trPr>
        <w:trHeight w:val="300"/>
      </w:trPr>
      <w:tc>
        <w:tcPr>
          <w:tcW w:w="3005" w:type="dxa"/>
          <w:tcMar/>
        </w:tcPr>
        <w:p w:rsidR="06608DB5" w:rsidP="06608DB5" w:rsidRDefault="06608DB5" w14:paraId="1377EA6A" w14:textId="4F7EB5A5">
          <w:pPr>
            <w:pStyle w:val="Header"/>
            <w:bidi w:val="0"/>
            <w:ind w:left="-115"/>
            <w:jc w:val="left"/>
          </w:pPr>
        </w:p>
      </w:tc>
      <w:tc>
        <w:tcPr>
          <w:tcW w:w="3005" w:type="dxa"/>
          <w:tcMar/>
        </w:tcPr>
        <w:p w:rsidR="06608DB5" w:rsidP="06608DB5" w:rsidRDefault="06608DB5" w14:paraId="2732992B" w14:textId="42DB9444">
          <w:pPr>
            <w:pStyle w:val="Header"/>
            <w:bidi w:val="0"/>
            <w:jc w:val="center"/>
          </w:pPr>
        </w:p>
      </w:tc>
      <w:tc>
        <w:tcPr>
          <w:tcW w:w="3005" w:type="dxa"/>
          <w:tcMar/>
        </w:tcPr>
        <w:p w:rsidR="06608DB5" w:rsidP="06608DB5" w:rsidRDefault="06608DB5" w14:paraId="1B741C0B" w14:textId="54F389A3">
          <w:pPr>
            <w:pStyle w:val="Header"/>
            <w:bidi w:val="0"/>
            <w:ind w:right="-115"/>
            <w:jc w:val="right"/>
          </w:pPr>
        </w:p>
      </w:tc>
    </w:tr>
  </w:tbl>
  <w:p w:rsidR="06608DB5" w:rsidP="06608DB5" w:rsidRDefault="06608DB5" w14:paraId="69AE3B21" w14:textId="755FA8F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7155"/>
    </w:tblGrid>
    <w:tr w:rsidR="06608DB5" w:rsidTr="06608DB5" w14:paraId="48649118">
      <w:trPr>
        <w:trHeight w:val="300"/>
      </w:trPr>
      <w:tc>
        <w:tcPr>
          <w:tcW w:w="3005" w:type="dxa"/>
          <w:tcMar/>
        </w:tcPr>
        <w:p w:rsidR="06608DB5" w:rsidP="06608DB5" w:rsidRDefault="06608DB5" w14:paraId="669C55C9" w14:textId="299BEF2F">
          <w:pPr>
            <w:pStyle w:val="Header"/>
            <w:bidi w:val="0"/>
            <w:jc w:val="center"/>
          </w:pPr>
        </w:p>
      </w:tc>
      <w:tc>
        <w:tcPr>
          <w:tcW w:w="7155" w:type="dxa"/>
          <w:tcMar/>
        </w:tcPr>
        <w:p w:rsidR="06608DB5" w:rsidP="06608DB5" w:rsidRDefault="06608DB5" w14:paraId="5B6C9BD4" w14:textId="3B88B020">
          <w:pPr>
            <w:pStyle w:val="Header"/>
            <w:bidi w:val="0"/>
            <w:ind w:left="-115" w:right="90"/>
            <w:jc w:val="right"/>
            <w:rPr>
              <w:rFonts w:ascii="Calibri" w:hAnsi="Calibri" w:eastAsia="Calibri" w:cs="Calibri"/>
              <w:b w:val="0"/>
              <w:bCs w:val="0"/>
              <w:i w:val="0"/>
              <w:iCs w:val="0"/>
              <w:caps w:val="0"/>
              <w:smallCaps w:val="0"/>
              <w:color w:val="808080" w:themeColor="background1" w:themeTint="FF" w:themeShade="80"/>
              <w:sz w:val="16"/>
              <w:szCs w:val="16"/>
            </w:rPr>
          </w:pPr>
          <w:r w:rsidRPr="06608DB5" w:rsidR="06608DB5">
            <w:rPr>
              <w:rFonts w:ascii="Calibri" w:hAnsi="Calibri" w:eastAsia="Calibri" w:cs="Calibri"/>
              <w:b w:val="0"/>
              <w:bCs w:val="0"/>
              <w:i w:val="0"/>
              <w:iCs w:val="0"/>
              <w:caps w:val="0"/>
              <w:smallCaps w:val="0"/>
              <w:color w:val="808080" w:themeColor="background1" w:themeTint="FF" w:themeShade="80"/>
              <w:sz w:val="16"/>
              <w:szCs w:val="16"/>
            </w:rPr>
            <w:t xml:space="preserve">Auditoria 1 – UnB 2026.2 | Suzano S.A. 2025 | PT </w:t>
          </w:r>
          <w:r w:rsidRPr="06608DB5" w:rsidR="06608DB5">
            <w:rPr>
              <w:rFonts w:ascii="Calibri" w:hAnsi="Calibri" w:eastAsia="Calibri" w:cs="Calibri"/>
              <w:b w:val="0"/>
              <w:bCs w:val="0"/>
              <w:i w:val="0"/>
              <w:iCs w:val="0"/>
              <w:caps w:val="0"/>
              <w:smallCaps w:val="0"/>
              <w:color w:val="808080" w:themeColor="background1" w:themeTint="FF" w:themeShade="80"/>
              <w:sz w:val="16"/>
              <w:szCs w:val="16"/>
            </w:rPr>
            <w:t>240</w:t>
          </w:r>
        </w:p>
      </w:tc>
    </w:tr>
  </w:tbl>
  <w:p w:rsidR="06608DB5" w:rsidP="06608DB5" w:rsidRDefault="06608DB5" w14:paraId="7CEC1A61" w14:textId="72DED17D">
    <w:pPr>
      <w:pStyle w:val="Header"/>
      <w:bidi w:val="0"/>
    </w:pPr>
  </w:p>
</w:hdr>
</file>

<file path=word/intelligence2.xml><?xml version="1.0" encoding="utf-8"?>
<int2:intelligence xmlns:int2="http://schemas.microsoft.com/office/intelligence/2020/intelligence">
  <int2:observations>
    <int2:textHash int2:hashCode="HKxczNDBNeCmo7" int2:id="4ZtIDvy3">
      <int2:state int2:type="spell" int2:value="Rejected"/>
    </int2:textHash>
    <int2:textHash int2:hashCode="bM4lz2eCVfDC4I" int2:id="5VI42hTp">
      <int2:state int2:type="spell" int2:value="Rejected"/>
    </int2:textHash>
    <int2:textHash int2:hashCode="jz11khmS9GYRcU" int2:id="Ybav2HBm">
      <int2:state int2:type="spell" int2:value="Rejected"/>
    </int2:textHash>
    <int2:textHash int2:hashCode="u46xfKsC+BLI1A" int2:id="EOdvPcP7">
      <int2:state int2:type="spell" int2:value="Rejected"/>
    </int2:textHash>
    <int2:textHash int2:hashCode="jZKIYoBOflOeg0" int2:id="oXsQnd2C">
      <int2:state int2:type="spell" int2:value="Rejected"/>
    </int2:textHash>
    <int2:textHash int2:hashCode="GFP9Qn0Iu5iRwc" int2:id="p7u2KCWd">
      <int2:state int2:type="spell" int2:value="Rejected"/>
    </int2:textHash>
    <int2:textHash int2:hashCode="T/dfgJV0acS2r1" int2:id="fY0yBU6r">
      <int2:state int2:type="spell" int2:value="Rejected"/>
    </int2:textHash>
    <int2:bookmark int2:bookmarkName="_Int_rpkpRZH2" int2:invalidationBookmarkName="" int2:hashCode="k1Jv7zJV71EgsR" int2:id="3z6r0OCh">
      <int2:state int2:type="gram" int2:value="Rejected"/>
    </int2:bookmark>
    <int2:bookmark int2:bookmarkName="_Int_4vk7kvs6" int2:invalidationBookmarkName="" int2:hashCode="6EFFUsVuhbVfN2" int2:id="J1XMU3Zn">
      <int2:state int2:type="gram" int2:value="Rejected"/>
    </int2:bookmark>
    <int2:bookmark int2:bookmarkName="_Int_z0MzMTnz" int2:invalidationBookmarkName="" int2:hashCode="V9LxqTRUiuWI44" int2:id="Hi09E65E">
      <int2:state int2:type="gram" int2:value="Rejected"/>
    </int2:bookmark>
    <int2:bookmark int2:bookmarkName="_Int_ib8lgMbm" int2:invalidationBookmarkName="" int2:hashCode="8CkoB/EwiQh7bu" int2:id="K3xnLwU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41ea7d49"/>
    <w:multiLevelType xmlns:w="http://schemas.openxmlformats.org/wordprocessingml/2006/main" w:val="hybridMultilevel"/>
    <w:lvl xmlns:w="http://schemas.openxmlformats.org/wordprocessingml/2006/main" w:ilvl="0">
      <w:start w:val="1"/>
      <w:numFmt w:val="bullet"/>
      <w:lvlText w:val="–"/>
      <w:lvlJc w:val="left"/>
      <w:pPr>
        <w:ind w:left="400" w:hanging="24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c037d8"/>
    <w:multiLevelType xmlns:w="http://schemas.openxmlformats.org/wordprocessingml/2006/main" w:val="hybridMultilevel"/>
    <w:lvl xmlns:w="http://schemas.openxmlformats.org/wordprocessingml/2006/main" w:ilvl="0">
      <w:start w:val="1"/>
      <w:numFmt w:val="bullet"/>
      <w:lvlText w:val="–"/>
      <w:lvlJc w:val="left"/>
      <w:pPr>
        <w:ind w:left="400" w:hanging="24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3a1684"/>
    <w:multiLevelType xmlns:w="http://schemas.openxmlformats.org/wordprocessingml/2006/main" w:val="hybridMultilevel"/>
    <w:lvl xmlns:w="http://schemas.openxmlformats.org/wordprocessingml/2006/main" w:ilvl="0">
      <w:start w:val="1"/>
      <w:numFmt w:val="bullet"/>
      <w:lvlText w:val="–"/>
      <w:lvlJc w:val="left"/>
      <w:pPr>
        <w:ind w:left="400" w:hanging="24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fa25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d19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faf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b5b4fb"/>
    <w:multiLevelType xmlns:w="http://schemas.openxmlformats.org/wordprocessingml/2006/main" w:val="hybridMultilevel"/>
    <w:lvl xmlns:w="http://schemas.openxmlformats.org/wordprocessingml/2006/main" w:ilvl="0">
      <w:start w:val="1"/>
      <w:numFmt w:val="bullet"/>
      <w:lvlText w:val="–"/>
      <w:lvlJc w:val="left"/>
      <w:pPr>
        <w:ind w:left="400" w:hanging="24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9afb"/>
    <w:multiLevelType xmlns:w="http://schemas.openxmlformats.org/wordprocessingml/2006/main" w:val="hybridMultilevel"/>
    <w:lvl xmlns:w="http://schemas.openxmlformats.org/wordprocessingml/2006/main" w:ilvl="0">
      <w:start w:val="1"/>
      <w:numFmt w:val="bullet"/>
      <w:lvlText w:val="•"/>
      <w:lvlJc w:val="left"/>
      <w:pPr>
        <w:ind w:left="50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D20B83"/>
    <w:rsid w:val="011A83B6"/>
    <w:rsid w:val="01306683"/>
    <w:rsid w:val="01746230"/>
    <w:rsid w:val="0223C95E"/>
    <w:rsid w:val="022D2EA2"/>
    <w:rsid w:val="027F62E5"/>
    <w:rsid w:val="038540D8"/>
    <w:rsid w:val="0442670A"/>
    <w:rsid w:val="05184C4B"/>
    <w:rsid w:val="059CB6AA"/>
    <w:rsid w:val="06608DB5"/>
    <w:rsid w:val="073EEE6D"/>
    <w:rsid w:val="08AE989A"/>
    <w:rsid w:val="09673444"/>
    <w:rsid w:val="0ABBD582"/>
    <w:rsid w:val="0D4925F2"/>
    <w:rsid w:val="0D4925F2"/>
    <w:rsid w:val="0D616FB3"/>
    <w:rsid w:val="0E30FB40"/>
    <w:rsid w:val="0E948883"/>
    <w:rsid w:val="1137642D"/>
    <w:rsid w:val="12708081"/>
    <w:rsid w:val="131A14A3"/>
    <w:rsid w:val="13C18680"/>
    <w:rsid w:val="13EAC771"/>
    <w:rsid w:val="14BAA7E7"/>
    <w:rsid w:val="14E42F05"/>
    <w:rsid w:val="1883A56F"/>
    <w:rsid w:val="1884274B"/>
    <w:rsid w:val="19CD751C"/>
    <w:rsid w:val="19D6320C"/>
    <w:rsid w:val="1A8C2314"/>
    <w:rsid w:val="1A9002EE"/>
    <w:rsid w:val="1B1160CE"/>
    <w:rsid w:val="1BE28AC6"/>
    <w:rsid w:val="1C0D7C78"/>
    <w:rsid w:val="1C57F14B"/>
    <w:rsid w:val="1E0594DC"/>
    <w:rsid w:val="1E1A72D4"/>
    <w:rsid w:val="1E47248A"/>
    <w:rsid w:val="1E50F5FE"/>
    <w:rsid w:val="2042C1AA"/>
    <w:rsid w:val="20611B13"/>
    <w:rsid w:val="22198A17"/>
    <w:rsid w:val="22812BBF"/>
    <w:rsid w:val="24005765"/>
    <w:rsid w:val="25529155"/>
    <w:rsid w:val="2668DAE6"/>
    <w:rsid w:val="271F7ECF"/>
    <w:rsid w:val="2AC5FBB5"/>
    <w:rsid w:val="2B2AD0CC"/>
    <w:rsid w:val="2F627354"/>
    <w:rsid w:val="30B63283"/>
    <w:rsid w:val="310A644E"/>
    <w:rsid w:val="3144C377"/>
    <w:rsid w:val="321D0DD1"/>
    <w:rsid w:val="32FF3506"/>
    <w:rsid w:val="33685EF1"/>
    <w:rsid w:val="362D2E0B"/>
    <w:rsid w:val="36BB4CB8"/>
    <w:rsid w:val="37702721"/>
    <w:rsid w:val="37EC1079"/>
    <w:rsid w:val="381A9377"/>
    <w:rsid w:val="39068857"/>
    <w:rsid w:val="3930D397"/>
    <w:rsid w:val="3A534784"/>
    <w:rsid w:val="3A5EA17B"/>
    <w:rsid w:val="3ADE138A"/>
    <w:rsid w:val="3B21F213"/>
    <w:rsid w:val="3BD59D62"/>
    <w:rsid w:val="3C38817C"/>
    <w:rsid w:val="3E1486F0"/>
    <w:rsid w:val="3E6E76E0"/>
    <w:rsid w:val="3E7A4EB2"/>
    <w:rsid w:val="3F2E0EE4"/>
    <w:rsid w:val="3F567C1B"/>
    <w:rsid w:val="437E3339"/>
    <w:rsid w:val="437E3339"/>
    <w:rsid w:val="44E2F39A"/>
    <w:rsid w:val="44E75B3E"/>
    <w:rsid w:val="4571A110"/>
    <w:rsid w:val="458D3F8A"/>
    <w:rsid w:val="4629E16C"/>
    <w:rsid w:val="481BC9E5"/>
    <w:rsid w:val="48B878B7"/>
    <w:rsid w:val="499A6DA5"/>
    <w:rsid w:val="4A6CCC25"/>
    <w:rsid w:val="4BBA9F4D"/>
    <w:rsid w:val="4C2BCC65"/>
    <w:rsid w:val="4C778481"/>
    <w:rsid w:val="4C792232"/>
    <w:rsid w:val="4CB49A8C"/>
    <w:rsid w:val="4D25FDF7"/>
    <w:rsid w:val="4DEDACF9"/>
    <w:rsid w:val="4F27EE36"/>
    <w:rsid w:val="4FD42890"/>
    <w:rsid w:val="50E19BE1"/>
    <w:rsid w:val="51672B92"/>
    <w:rsid w:val="518F9E19"/>
    <w:rsid w:val="51DA259B"/>
    <w:rsid w:val="51DE326D"/>
    <w:rsid w:val="5344D2F2"/>
    <w:rsid w:val="54244B1B"/>
    <w:rsid w:val="542EB4C9"/>
    <w:rsid w:val="56163189"/>
    <w:rsid w:val="57801450"/>
    <w:rsid w:val="58225285"/>
    <w:rsid w:val="5833D511"/>
    <w:rsid w:val="5A474709"/>
    <w:rsid w:val="5B2C69A3"/>
    <w:rsid w:val="5BC5AA9B"/>
    <w:rsid w:val="5C58FB2D"/>
    <w:rsid w:val="5C9C4987"/>
    <w:rsid w:val="5D2882FE"/>
    <w:rsid w:val="5D2931F0"/>
    <w:rsid w:val="5DEC9CD5"/>
    <w:rsid w:val="5E2321B4"/>
    <w:rsid w:val="5E2321B4"/>
    <w:rsid w:val="5E2D2769"/>
    <w:rsid w:val="5F4BBD12"/>
    <w:rsid w:val="5FEDE9D1"/>
    <w:rsid w:val="6046D935"/>
    <w:rsid w:val="60738780"/>
    <w:rsid w:val="60DB19B1"/>
    <w:rsid w:val="61C2A11A"/>
    <w:rsid w:val="61C346DF"/>
    <w:rsid w:val="62FF6043"/>
    <w:rsid w:val="63205F1C"/>
    <w:rsid w:val="632D14A5"/>
    <w:rsid w:val="6424C402"/>
    <w:rsid w:val="656EBC66"/>
    <w:rsid w:val="676B3C17"/>
    <w:rsid w:val="68147977"/>
    <w:rsid w:val="68156EEA"/>
    <w:rsid w:val="6988F2A9"/>
    <w:rsid w:val="6A4994F7"/>
    <w:rsid w:val="6AAD1B46"/>
    <w:rsid w:val="6ADDB7AE"/>
    <w:rsid w:val="6B3C6FAB"/>
    <w:rsid w:val="6C6BB954"/>
    <w:rsid w:val="6C76A16F"/>
    <w:rsid w:val="6CD9F37B"/>
    <w:rsid w:val="6D5E6689"/>
    <w:rsid w:val="6E8E8995"/>
    <w:rsid w:val="6F10F671"/>
    <w:rsid w:val="70C8A8D8"/>
    <w:rsid w:val="7165B74A"/>
    <w:rsid w:val="71D6414C"/>
    <w:rsid w:val="727407FA"/>
    <w:rsid w:val="73E91AE4"/>
    <w:rsid w:val="759CB2A2"/>
    <w:rsid w:val="7641FD9E"/>
    <w:rsid w:val="76DA82A2"/>
    <w:rsid w:val="77026C05"/>
    <w:rsid w:val="78309E6D"/>
    <w:rsid w:val="78A13169"/>
    <w:rsid w:val="7980DA60"/>
    <w:rsid w:val="7AECFA50"/>
    <w:rsid w:val="7BB5E64C"/>
    <w:rsid w:val="7BDA1864"/>
    <w:rsid w:val="7C8D4AD5"/>
    <w:rsid w:val="7C9284D6"/>
    <w:rsid w:val="7DB7A68F"/>
    <w:rsid w:val="7E76A2F3"/>
    <w:rsid w:val="7ED20B83"/>
    <w:rsid w:val="7EF7B6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840C"/>
  <w15:chartTrackingRefBased/>
  <w15:docId w15:val="{AE9EA3DC-B2E8-448C-B859-C51B310DF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6608DB5"/>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6608DB5"/>
    <w:pPr>
      <w:spacing/>
      <w:ind w:left="720"/>
      <w:contextualSpacing/>
    </w:pPr>
  </w:style>
  <w:style w:type="paragraph" w:styleId="Header">
    <w:uiPriority w:val="99"/>
    <w:name w:val="header"/>
    <w:basedOn w:val="Normal"/>
    <w:unhideWhenUsed/>
    <w:rsid w:val="06608DB5"/>
    <w:pPr>
      <w:tabs>
        <w:tab w:val="center" w:leader="none" w:pos="4680"/>
        <w:tab w:val="right" w:leader="none" w:pos="9360"/>
      </w:tabs>
      <w:spacing w:after="0" w:line="240" w:lineRule="auto"/>
    </w:pPr>
  </w:style>
  <w:style w:type="paragraph" w:styleId="Footer">
    <w:uiPriority w:val="99"/>
    <w:name w:val="footer"/>
    <w:basedOn w:val="Normal"/>
    <w:unhideWhenUsed/>
    <w:rsid w:val="06608DB5"/>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6608DB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2.cfc.org.br/sisweb/sre/detalhes_sre.aspx?Codigo=2016/NBCTA240(R1" TargetMode="External" Id="Raafe91688edf4cae" /><Relationship Type="http://schemas.openxmlformats.org/officeDocument/2006/relationships/hyperlink" Target="https://www.rad.cvm.gov.br/ENETWEB/frmGerenciaPaginaFRE.aspx?NumeroSequencialDocumento=154674&amp;CodigoTipoInstituicao=1" TargetMode="External" Id="Rdc6577a1673f44a0" /><Relationship Type="http://schemas.openxmlformats.org/officeDocument/2006/relationships/hyperlink" Target="https://www2.cfc.org.br/sisweb/sre/detalhes_sre.aspx?Codigo=2016/NBCTA240(R1" TargetMode="External" Id="R3ca2f72cc72a49af" /><Relationship Type="http://schemas.openxmlformats.org/officeDocument/2006/relationships/header" Target="header.xml" Id="Rd118f1e6e0d84097" /><Relationship Type="http://schemas.openxmlformats.org/officeDocument/2006/relationships/footer" Target="footer.xml" Id="R4a6f9503f90a45df" /><Relationship Type="http://schemas.microsoft.com/office/2020/10/relationships/intelligence" Target="intelligence2.xml" Id="R1f06e21d5c384fac" /><Relationship Type="http://schemas.openxmlformats.org/officeDocument/2006/relationships/numbering" Target="numbering.xml" Id="Rd374ce3e29464f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2026-10-19T18:31:55.3078925Z</dcterms:created>
  <dcterms:modified xsi:type="dcterms:W3CDTF">2026-10-20T19:34:17.3157723Z</dcterms:modified>
  <dc:creator>Gabriela Aparecida Parreira</dc:creator>
  <lastModifiedBy>Gabriela Aparecida Parreira</lastModifiedBy>
</coreProperties>
</file>