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DCE8907" wp14:paraId="22CE5780" wp14:textId="381D17F1">
      <w:pPr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7F7F7F" w:themeColor="text1" w:themeTint="80" w:themeShade="FF"/>
          <w:sz w:val="15"/>
          <w:szCs w:val="15"/>
          <w:lang w:val="pt-BR"/>
        </w:rPr>
      </w:pPr>
      <w:r w:rsidRPr="6DCE8907" w:rsidR="72B936F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7F7F7F" w:themeColor="text1" w:themeTint="80" w:themeShade="FF"/>
          <w:sz w:val="15"/>
          <w:szCs w:val="15"/>
          <w:lang w:val="pt-BR"/>
        </w:rPr>
        <w:t xml:space="preserve">DOSSIÊ DE AUDITORIA · SUZANO S.A.  </w:t>
      </w:r>
      <w:r w:rsidRPr="6DCE8907" w:rsidR="72B936F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7F7F7F" w:themeColor="text1" w:themeTint="80" w:themeShade="FF"/>
          <w:sz w:val="15"/>
          <w:szCs w:val="15"/>
          <w:lang w:val="pt-BR"/>
        </w:rPr>
        <w:t>· EXERCÍCIO</w:t>
      </w:r>
      <w:r w:rsidRPr="6DCE8907" w:rsidR="72B936F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7F7F7F" w:themeColor="text1" w:themeTint="80" w:themeShade="FF"/>
          <w:sz w:val="15"/>
          <w:szCs w:val="15"/>
          <w:lang w:val="pt-BR"/>
        </w:rPr>
        <w:t xml:space="preserve"> 2025</w:t>
      </w:r>
    </w:p>
    <w:p xmlns:wp14="http://schemas.microsoft.com/office/word/2010/wordml" w:rsidP="6DCE8907" wp14:paraId="371B07E9" wp14:textId="1AAE2920">
      <w:pPr>
        <w:bidi w:val="0"/>
        <w:spacing w:after="20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4"/>
          <w:szCs w:val="34"/>
          <w:lang w:val="pt-BR"/>
        </w:rPr>
      </w:pPr>
      <w:r w:rsidRPr="6DCE8907" w:rsidR="72B936F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4"/>
          <w:szCs w:val="34"/>
          <w:lang w:val="pt-BR"/>
        </w:rPr>
        <w:t>PT 250 -</w:t>
      </w:r>
      <w:r w:rsidRPr="6DCE8907" w:rsidR="72B936F5">
        <w:rPr>
          <w:rFonts w:ascii="Arial" w:hAnsi="Arial" w:eastAsia="Arial" w:cs="Arial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noProof w:val="0"/>
          <w:color w:val="1F3864"/>
          <w:sz w:val="34"/>
          <w:szCs w:val="34"/>
          <w:lang w:val="pt-BR" w:eastAsia="en-US" w:bidi="ar-SA"/>
        </w:rPr>
        <w:t xml:space="preserve"> Leis e regulamentos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590"/>
        <w:gridCol w:w="4395"/>
        <w:gridCol w:w="3630"/>
      </w:tblGrid>
      <w:tr w:rsidR="6DCE8907" w:rsidTr="6DCE8907" w14:paraId="26534FDF">
        <w:trPr>
          <w:trHeight w:val="300"/>
        </w:trPr>
        <w:tc>
          <w:tcPr>
            <w:tcW w:w="1590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10C1EC2C" w14:textId="0284E267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4"/>
                <w:szCs w:val="14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4"/>
                <w:szCs w:val="14"/>
                <w:lang w:val="pt-BR"/>
              </w:rPr>
              <w:t>CÓDIGO</w:t>
            </w:r>
          </w:p>
          <w:p w:rsidR="6DCE8907" w:rsidP="6DCE8907" w:rsidRDefault="6DCE8907" w14:paraId="391D2991" w14:textId="1464AD7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8"/>
                <w:szCs w:val="18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8"/>
                <w:szCs w:val="18"/>
                <w:lang w:val="pt-BR"/>
              </w:rPr>
              <w:t>PT 250</w:t>
            </w:r>
          </w:p>
        </w:tc>
        <w:tc>
          <w:tcPr>
            <w:tcW w:w="4395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027FC683" w14:textId="1C016FBF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4"/>
                <w:szCs w:val="14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4"/>
                <w:szCs w:val="14"/>
                <w:lang w:val="pt-BR"/>
              </w:rPr>
              <w:t>ENTIDADE</w:t>
            </w:r>
          </w:p>
          <w:p w:rsidR="6DCE8907" w:rsidP="6DCE8907" w:rsidRDefault="6DCE8907" w14:paraId="1539BC75" w14:textId="73D30F6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8"/>
                <w:szCs w:val="18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8"/>
                <w:szCs w:val="18"/>
                <w:lang w:val="pt-BR"/>
              </w:rPr>
              <w:t>Suzano S.A. (B3: SUZB3 · NYSE: SUZ)</w:t>
            </w:r>
          </w:p>
        </w:tc>
        <w:tc>
          <w:tcPr>
            <w:tcW w:w="3630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0D1A8375" w14:textId="48D54753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4"/>
                <w:szCs w:val="14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4"/>
                <w:szCs w:val="14"/>
                <w:lang w:val="pt-BR"/>
              </w:rPr>
              <w:t>EXERCÍCIO</w:t>
            </w:r>
          </w:p>
          <w:p w:rsidR="6DCE8907" w:rsidP="6DCE8907" w:rsidRDefault="6DCE8907" w14:paraId="00ACF107" w14:textId="7EDD8C1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8"/>
                <w:szCs w:val="18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8"/>
                <w:szCs w:val="18"/>
                <w:lang w:val="pt-BR"/>
              </w:rPr>
              <w:t>31/12/2025 (comparativo 31/12/2024)</w:t>
            </w:r>
          </w:p>
        </w:tc>
      </w:tr>
      <w:tr w:rsidR="6DCE8907" w:rsidTr="6DCE8907" w14:paraId="0539C3C7">
        <w:trPr>
          <w:trHeight w:val="300"/>
        </w:trPr>
        <w:tc>
          <w:tcPr>
            <w:tcW w:w="5985" w:type="dxa"/>
            <w:gridSpan w:val="2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23DB430C" w14:textId="39D62621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4"/>
                <w:szCs w:val="14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4"/>
                <w:szCs w:val="14"/>
                <w:lang w:val="pt-BR"/>
              </w:rPr>
              <w:t>NORMA</w:t>
            </w:r>
          </w:p>
          <w:p w:rsidR="6DCE8907" w:rsidP="6DCE8907" w:rsidRDefault="6DCE8907" w14:paraId="17808741" w14:textId="0AA351D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8"/>
                <w:szCs w:val="18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8"/>
                <w:szCs w:val="18"/>
                <w:lang w:val="pt-BR"/>
              </w:rPr>
              <w:t>NBC TA 250 – Consideração de leis e regulamentos na auditoria de demonstrações contábeis</w:t>
            </w:r>
          </w:p>
        </w:tc>
        <w:tc>
          <w:tcPr>
            <w:tcW w:w="3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651636E5" w14:textId="66524E79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4"/>
                <w:szCs w:val="14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4"/>
                <w:szCs w:val="14"/>
                <w:lang w:val="pt-BR"/>
              </w:rPr>
              <w:t>ITENS UTILIZADOS</w:t>
            </w:r>
          </w:p>
          <w:p w:rsidR="6DCE8907" w:rsidP="6DCE8907" w:rsidRDefault="6DCE8907" w14:paraId="71E64FC6" w14:textId="3229900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8"/>
                <w:szCs w:val="18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8"/>
                <w:szCs w:val="18"/>
                <w:lang w:val="pt-BR"/>
              </w:rPr>
              <w:t>6, 13–16, 19–24, 26–29</w:t>
            </w:r>
          </w:p>
        </w:tc>
      </w:tr>
      <w:tr w:rsidR="6DCE8907" w:rsidTr="6DCE8907" w14:paraId="4F90842A">
        <w:trPr>
          <w:trHeight w:val="300"/>
        </w:trPr>
        <w:tc>
          <w:tcPr>
            <w:tcW w:w="5985" w:type="dxa"/>
            <w:gridSpan w:val="2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3F396271" w14:textId="2104FDB3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4"/>
                <w:szCs w:val="14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4"/>
                <w:szCs w:val="14"/>
                <w:lang w:val="pt-BR"/>
              </w:rPr>
              <w:t>VERSÃO CONSULTADA</w:t>
            </w:r>
          </w:p>
          <w:p w:rsidR="6DCE8907" w:rsidP="6DCE8907" w:rsidRDefault="6DCE8907" w14:paraId="654B085E" w14:textId="00AEA1C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8"/>
                <w:szCs w:val="18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8"/>
                <w:szCs w:val="18"/>
                <w:lang w:val="pt-BR"/>
              </w:rPr>
              <w:t xml:space="preserve">NBC TA 250, de 07/02/2019 – CFC, acesso em 20/10/2026: </w:t>
            </w:r>
            <w:hyperlink r:id="R0bd9dbc3c5da4966">
              <w:r w:rsidRPr="6DCE8907" w:rsidR="4076952D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noProof w:val="0"/>
                  <w:sz w:val="18"/>
                  <w:szCs w:val="18"/>
                  <w:lang w:val="pt-BR"/>
                </w:rPr>
                <w:t xml:space="preserve">NBC TA </w:t>
              </w:r>
              <w:r w:rsidRPr="6DCE8907" w:rsidR="6DCE8907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noProof w:val="0"/>
                  <w:sz w:val="18"/>
                  <w:szCs w:val="18"/>
                  <w:lang w:val="pt-BR"/>
                </w:rPr>
                <w:t>250</w:t>
              </w:r>
            </w:hyperlink>
          </w:p>
        </w:tc>
        <w:tc>
          <w:tcPr>
            <w:tcW w:w="3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6BDEBBF5" w14:textId="3160DEB1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4"/>
                <w:szCs w:val="14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4"/>
                <w:szCs w:val="14"/>
                <w:lang w:val="pt-BR"/>
              </w:rPr>
              <w:t>STATUS</w:t>
            </w:r>
          </w:p>
          <w:p w:rsidR="6DCE8907" w:rsidP="6DCE8907" w:rsidRDefault="6DCE8907" w14:paraId="4EC5EBD1" w14:textId="72962D6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8"/>
                <w:szCs w:val="18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8"/>
                <w:szCs w:val="18"/>
                <w:lang w:val="pt-BR"/>
              </w:rPr>
              <w:t>Realizado com evidência pública; indagações planejadas</w:t>
            </w:r>
          </w:p>
        </w:tc>
      </w:tr>
    </w:tbl>
    <w:p xmlns:wp14="http://schemas.microsoft.com/office/word/2010/wordml" w:rsidP="6DCE8907" wp14:paraId="547F1C60" wp14:textId="69D804F5">
      <w:pPr>
        <w:bidi w:val="0"/>
        <w:spacing w:after="10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</w:pPr>
    </w:p>
    <w:p xmlns:wp14="http://schemas.microsoft.com/office/word/2010/wordml" w:rsidP="6DCE8907" wp14:paraId="7FB2710C" wp14:textId="0A88977C">
      <w:pPr>
        <w:bidi w:val="0"/>
        <w:spacing w:after="0" w:line="264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7"/>
          <w:szCs w:val="17"/>
          <w:lang w:val="pt-BR"/>
        </w:rPr>
      </w:pPr>
      <w:r w:rsidRPr="6DCE8907" w:rsidR="72B936F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  <w:t xml:space="preserve">Natureza do PT. </w:t>
      </w:r>
      <w:r w:rsidRPr="6DCE8907" w:rsidR="72B936F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7"/>
          <w:szCs w:val="17"/>
          <w:lang w:val="pt-BR"/>
        </w:rPr>
        <w:t>Trabalho acadêmico com documentos públicos; não constitui opinião de auditoria nem parecer jurídico. Nenhuma comunicação foi feita a autoridades ou à Companhia. Sem dados simulados.</w:t>
      </w:r>
    </w:p>
    <w:p xmlns:wp14="http://schemas.microsoft.com/office/word/2010/wordml" w:rsidP="6DCE8907" wp14:paraId="38047E9D" wp14:textId="58C2050B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3864"/>
          <w:sz w:val="20"/>
          <w:szCs w:val="20"/>
          <w:lang w:val="pt-BR"/>
        </w:rPr>
      </w:pPr>
      <w:r w:rsidRPr="6DCE8907" w:rsidR="72B936F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7F7F7F" w:themeColor="text1" w:themeTint="80" w:themeShade="FF"/>
          <w:sz w:val="20"/>
          <w:szCs w:val="20"/>
          <w:lang w:val="pt-BR"/>
        </w:rPr>
        <w:t xml:space="preserve">1   </w:t>
      </w:r>
      <w:r w:rsidRPr="6DCE8907" w:rsidR="72B936F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20"/>
          <w:szCs w:val="20"/>
          <w:lang w:val="pt-BR"/>
        </w:rPr>
        <w:t>OBJETIVO E OBJETO</w:t>
      </w:r>
    </w:p>
    <w:p xmlns:wp14="http://schemas.microsoft.com/office/word/2010/wordml" w:rsidP="6DCE8907" wp14:paraId="5FB39532" wp14:textId="7BBBCD3D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</w:pPr>
      <w:r w:rsidRPr="6DCE8907" w:rsidR="72B936F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  <w:t>Mapear as leis e os regulamentos relevantes para a Suzano e os riscos de descumprimento, definir os procedimentos de auditoria e o fluxo de comunicação diante de indícios de não conformidade (itens 13–16 e 19–29).</w:t>
      </w:r>
    </w:p>
    <w:p xmlns:wp14="http://schemas.microsoft.com/office/word/2010/wordml" w:rsidP="6DCE8907" wp14:paraId="6E386D90" wp14:textId="157CFE50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3864"/>
          <w:sz w:val="20"/>
          <w:szCs w:val="20"/>
          <w:lang w:val="pt-BR"/>
        </w:rPr>
      </w:pPr>
      <w:r w:rsidRPr="6DCE8907" w:rsidR="72B936F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7F7F7F" w:themeColor="text1" w:themeTint="80" w:themeShade="FF"/>
          <w:sz w:val="20"/>
          <w:szCs w:val="20"/>
          <w:lang w:val="pt-BR"/>
        </w:rPr>
        <w:t xml:space="preserve">2   </w:t>
      </w:r>
      <w:r w:rsidRPr="6DCE8907" w:rsidR="72B936F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20"/>
          <w:szCs w:val="20"/>
          <w:lang w:val="pt-BR"/>
        </w:rPr>
        <w:t>AFIRMAÇÕES E RISCOS</w:t>
      </w:r>
    </w:p>
    <w:p xmlns:wp14="http://schemas.microsoft.com/office/word/2010/wordml" w:rsidP="6DCE8907" wp14:paraId="05100294" wp14:textId="513B46FC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</w:pPr>
      <w:r w:rsidRPr="6DCE8907" w:rsidR="72B936F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  <w:t>Descumprimentos afetam principalmente a integridade e a valorização das provisões e passivos, a apresentação das contingências e, em casos graves, a continuidade operacional. População e fontes: notas 12 e 20 e relatórios da governança na DFP 2025 (F1); texto da norma (F2).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540"/>
        <w:gridCol w:w="5895"/>
        <w:gridCol w:w="1245"/>
        <w:gridCol w:w="1935"/>
      </w:tblGrid>
      <w:tr w:rsidR="6DCE8907" w:rsidTr="6DCE8907" w14:paraId="1EA80323">
        <w:trPr>
          <w:trHeight w:val="300"/>
        </w:trPr>
        <w:tc>
          <w:tcPr>
            <w:tcW w:w="54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7C7BE0ED" w14:textId="109165D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  <w:t>Ref.</w:t>
            </w:r>
          </w:p>
        </w:tc>
        <w:tc>
          <w:tcPr>
            <w:tcW w:w="58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4F651B27" w14:textId="212BB27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  <w:t>Documento e endereço</w:t>
            </w:r>
          </w:p>
        </w:tc>
        <w:tc>
          <w:tcPr>
            <w:tcW w:w="124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709C53B0" w14:textId="2C12C70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  <w:t>Acesso</w:t>
            </w:r>
          </w:p>
        </w:tc>
        <w:tc>
          <w:tcPr>
            <w:tcW w:w="19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76D7B7D1" w14:textId="38C6847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  <w:t>Páginas</w:t>
            </w:r>
          </w:p>
        </w:tc>
      </w:tr>
      <w:tr w:rsidR="6DCE8907" w:rsidTr="6DCE8907" w14:paraId="532E65D4">
        <w:trPr>
          <w:trHeight w:val="300"/>
        </w:trPr>
        <w:tc>
          <w:tcPr>
            <w:tcW w:w="54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51F4FAF2" w14:textId="6A5514C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F1</w:t>
            </w:r>
          </w:p>
        </w:tc>
        <w:tc>
          <w:tcPr>
            <w:tcW w:w="58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55953F06" w14:textId="4C0FE8D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 xml:space="preserve">DFP 31/12/2025, versão 1 – CVM/RAD: </w:t>
            </w:r>
            <w:hyperlink r:id="R5a7573ca70554852">
              <w:r w:rsidRPr="6DCE8907" w:rsidR="405C3F0F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noProof w:val="0"/>
                  <w:sz w:val="18"/>
                  <w:szCs w:val="18"/>
                  <w:lang w:val="pt-BR"/>
                </w:rPr>
                <w:t>DFP</w:t>
              </w:r>
            </w:hyperlink>
          </w:p>
        </w:tc>
        <w:tc>
          <w:tcPr>
            <w:tcW w:w="124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05C3F0F" w:rsidP="6DCE8907" w:rsidRDefault="405C3F0F" w14:paraId="3DFFB643" w14:textId="65BCEED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405C3F0F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20/10/2026</w:t>
            </w:r>
          </w:p>
          <w:p w:rsidR="6DCE8907" w:rsidP="6DCE8907" w:rsidRDefault="6DCE8907" w14:paraId="11841CA8" w14:textId="2B4660A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highlight w:val="yellow"/>
                <w:lang w:val="pt-BR"/>
              </w:rPr>
            </w:pPr>
          </w:p>
        </w:tc>
        <w:tc>
          <w:tcPr>
            <w:tcW w:w="193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62B25EA7" w14:textId="58F343C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p. 42, 48–49, 104, 153, 174–177, 201–204</w:t>
            </w:r>
          </w:p>
        </w:tc>
      </w:tr>
      <w:tr w:rsidR="6DCE8907" w:rsidTr="6DCE8907" w14:paraId="62405E43">
        <w:trPr>
          <w:trHeight w:val="300"/>
        </w:trPr>
        <w:tc>
          <w:tcPr>
            <w:tcW w:w="54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5AFC3748" w14:textId="141FE5D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F2</w:t>
            </w:r>
          </w:p>
        </w:tc>
        <w:tc>
          <w:tcPr>
            <w:tcW w:w="58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0053DEC4" w14:textId="5BF1631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NBC TA 250 – CFC</w:t>
            </w: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8"/>
                <w:szCs w:val="18"/>
                <w:lang w:val="pt-BR"/>
              </w:rPr>
              <w:t xml:space="preserve">: </w:t>
            </w:r>
            <w:hyperlink r:id="Rad08e808dfcc4ee2">
              <w:r w:rsidRPr="6DCE8907" w:rsidR="6EE1D0E0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noProof w:val="0"/>
                  <w:sz w:val="18"/>
                  <w:szCs w:val="18"/>
                  <w:lang w:val="pt-BR"/>
                </w:rPr>
                <w:t xml:space="preserve">NBC TA </w:t>
              </w:r>
              <w:r w:rsidRPr="6DCE8907" w:rsidR="6DCE8907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noProof w:val="0"/>
                  <w:sz w:val="18"/>
                  <w:szCs w:val="18"/>
                  <w:lang w:val="pt-BR"/>
                </w:rPr>
                <w:t>250</w:t>
              </w:r>
            </w:hyperlink>
          </w:p>
        </w:tc>
        <w:tc>
          <w:tcPr>
            <w:tcW w:w="124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694AD286" w14:textId="65BCEED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20/10/2026</w:t>
            </w:r>
          </w:p>
        </w:tc>
        <w:tc>
          <w:tcPr>
            <w:tcW w:w="193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4836AD2E" w14:textId="546DA43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Itens 6–30</w:t>
            </w:r>
          </w:p>
        </w:tc>
      </w:tr>
    </w:tbl>
    <w:p xmlns:wp14="http://schemas.microsoft.com/office/word/2010/wordml" w:rsidP="6DCE8907" wp14:paraId="4CF995DB" wp14:textId="02830202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3864"/>
          <w:sz w:val="20"/>
          <w:szCs w:val="20"/>
          <w:lang w:val="pt-BR"/>
        </w:rPr>
      </w:pPr>
      <w:r w:rsidRPr="6DCE8907" w:rsidR="72B936F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7F7F7F" w:themeColor="text1" w:themeTint="80" w:themeShade="FF"/>
          <w:sz w:val="20"/>
          <w:szCs w:val="20"/>
          <w:lang w:val="pt-BR"/>
        </w:rPr>
        <w:t xml:space="preserve">3   </w:t>
      </w:r>
      <w:r w:rsidRPr="6DCE8907" w:rsidR="72B936F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20"/>
          <w:szCs w:val="20"/>
          <w:lang w:val="pt-BR"/>
        </w:rPr>
        <w:t>MAPA DE LEIS E REGULAMENTOS (ITEM 6)</w:t>
      </w:r>
    </w:p>
    <w:p xmlns:wp14="http://schemas.microsoft.com/office/word/2010/wordml" w:rsidP="6DCE8907" wp14:paraId="3273F143" wp14:textId="3C29FEB4">
      <w:pPr>
        <w:bidi w:val="0"/>
        <w:spacing w:after="10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</w:pPr>
      <w:r w:rsidRPr="6DCE8907" w:rsidR="72B936F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  <w:t xml:space="preserve">Categoria (a) – efeito direto nas demonstrações: </w:t>
      </w:r>
      <w:r w:rsidRPr="6DCE8907" w:rsidR="72B936F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  <w:t>o auditor deve obter evidência apropriada e suficiente sobre a conformidade (item 14).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790"/>
        <w:gridCol w:w="3630"/>
        <w:gridCol w:w="1695"/>
        <w:gridCol w:w="1485"/>
      </w:tblGrid>
      <w:tr w:rsidR="6DCE8907" w:rsidTr="6DCE8907" w14:paraId="4585B77E">
        <w:trPr>
          <w:trHeight w:val="300"/>
        </w:trPr>
        <w:tc>
          <w:tcPr>
            <w:tcW w:w="279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1B80E272" w14:textId="03616B4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  <w:t>Lei ou regulamento</w:t>
            </w:r>
          </w:p>
        </w:tc>
        <w:tc>
          <w:tcPr>
            <w:tcW w:w="363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59AC855F" w14:textId="0BE25D1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  <w:t>Situação na Suzano</w:t>
            </w:r>
          </w:p>
        </w:tc>
        <w:tc>
          <w:tcPr>
            <w:tcW w:w="16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05256A99" w14:textId="760BDA4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  <w:t>Risco de descumprimento</w:t>
            </w:r>
          </w:p>
        </w:tc>
        <w:tc>
          <w:tcPr>
            <w:tcW w:w="148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10CCF202" w14:textId="3D5A2A8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  <w:t>Fonte</w:t>
            </w:r>
          </w:p>
        </w:tc>
      </w:tr>
      <w:tr w:rsidR="6DCE8907" w:rsidTr="6DCE8907" w14:paraId="33BA079A">
        <w:trPr>
          <w:trHeight w:val="300"/>
        </w:trPr>
        <w:tc>
          <w:tcPr>
            <w:tcW w:w="279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384AEF2C" w14:textId="659770B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Legislação tributária federal (IRPJ, CSLL, PIS, COFINS, IRRF) e estadual (ICMS)</w:t>
            </w:r>
          </w:p>
        </w:tc>
        <w:tc>
          <w:tcPr>
            <w:tcW w:w="363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48C676E6" w14:textId="3055B4D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631 processos tributários e previdenciários, R$ 10,4 bi classificados como perda possível; autos sobre permuta de ativos, glosa de depreciação/exaustão e incentivos da ADENE</w:t>
            </w:r>
          </w:p>
        </w:tc>
        <w:tc>
          <w:tcPr>
            <w:tcW w:w="16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2E228757" w14:textId="09237E5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Alto</w:t>
            </w:r>
          </w:p>
        </w:tc>
        <w:tc>
          <w:tcPr>
            <w:tcW w:w="148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5794861B" w14:textId="2110F9C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F1 p. 174–176</w:t>
            </w:r>
          </w:p>
        </w:tc>
      </w:tr>
      <w:tr w:rsidR="6DCE8907" w:rsidTr="6DCE8907" w14:paraId="2DC4CD02">
        <w:trPr>
          <w:trHeight w:val="300"/>
        </w:trPr>
        <w:tc>
          <w:tcPr>
            <w:tcW w:w="27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1AAECDEA" w14:textId="610C71A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Imposto mínimo global (Pilar Dois da OCDE) e adicional de CSLL no Brasil a partir de 2025</w:t>
            </w:r>
          </w:p>
        </w:tc>
        <w:tc>
          <w:tcPr>
            <w:tcW w:w="3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424F77A6" w14:textId="1EBEE20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Sujeita às regras na Áustria desde 2024 e ao adicional de CSLL desde 2025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143F5938" w14:textId="7A6E3B7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Moderado – regra nova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4D4F3026" w14:textId="6E348C0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F1 p. 153</w:t>
            </w:r>
          </w:p>
        </w:tc>
      </w:tr>
      <w:tr w:rsidR="6DCE8907" w:rsidTr="6DCE8907" w14:paraId="0D2A78B3">
        <w:trPr>
          <w:trHeight w:val="300"/>
        </w:trPr>
        <w:tc>
          <w:tcPr>
            <w:tcW w:w="27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7D4F9FDC" w14:textId="7764B19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Reforma Tributária do consumo</w:t>
            </w:r>
          </w:p>
        </w:tc>
        <w:tc>
          <w:tcPr>
            <w:tcW w:w="3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4548E9C0" w14:textId="25A14A6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Acompanhada pelo Comitê de Auditoria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1DAD205E" w14:textId="308FAD8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Moderado – transição a partir de 2026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33A11AFD" w14:textId="305E66B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F1 p. 204</w:t>
            </w:r>
          </w:p>
        </w:tc>
      </w:tr>
      <w:tr w:rsidR="6DCE8907" w:rsidTr="6DCE8907" w14:paraId="60D31850">
        <w:trPr>
          <w:trHeight w:val="300"/>
        </w:trPr>
        <w:tc>
          <w:tcPr>
            <w:tcW w:w="27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38DA13D7" w14:textId="767F667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Lei nº 6.404/1976 e normas da CVM (demonstrações, dividendos, partes relacionadas)</w:t>
            </w:r>
          </w:p>
        </w:tc>
        <w:tc>
          <w:tcPr>
            <w:tcW w:w="3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1C10FE0B" w14:textId="4B17494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Companhia aberta no Novo Mercado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2EC549CC" w14:textId="44EA8D0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Baixo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3551D36A" w14:textId="08C8FE9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F1 p. 104</w:t>
            </w:r>
          </w:p>
        </w:tc>
      </w:tr>
      <w:tr w:rsidR="6DCE8907" w:rsidTr="6DCE8907" w14:paraId="7919B837">
        <w:trPr>
          <w:trHeight w:val="300"/>
        </w:trPr>
        <w:tc>
          <w:tcPr>
            <w:tcW w:w="279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5E4BE040" w14:textId="753E58B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Legislação trabalhista e previdenciária</w:t>
            </w:r>
          </w:p>
        </w:tc>
        <w:tc>
          <w:tcPr>
            <w:tcW w:w="363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2640B071" w14:textId="5FFE676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1.211 processos trabalhistas, R$ 189,5 mi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5CDDDFCC" w14:textId="5277E01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Moderado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7FA6C251" w14:textId="39628BB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F1 p. 176</w:t>
            </w:r>
          </w:p>
        </w:tc>
      </w:tr>
    </w:tbl>
    <w:p xmlns:wp14="http://schemas.microsoft.com/office/word/2010/wordml" w:rsidP="6DCE8907" wp14:paraId="77C5C7C3" wp14:textId="104FE8AF">
      <w:pPr>
        <w:bidi w:val="0"/>
        <w:spacing w:after="8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</w:pPr>
    </w:p>
    <w:p xmlns:wp14="http://schemas.microsoft.com/office/word/2010/wordml" w:rsidP="6DCE8907" wp14:paraId="00DA8D34" wp14:textId="558407D4">
      <w:pPr>
        <w:bidi w:val="0"/>
        <w:spacing w:after="10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</w:pPr>
      <w:r w:rsidRPr="6DCE8907" w:rsidR="72B936F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  <w:t xml:space="preserve">Categoria (b) – fundamentais para a operação: </w:t>
      </w:r>
      <w:r w:rsidRPr="6DCE8907" w:rsidR="72B936F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  <w:t>o auditor executa indagações e inspeciona correspondência com autoridades (item 15).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790"/>
        <w:gridCol w:w="3630"/>
        <w:gridCol w:w="1695"/>
        <w:gridCol w:w="1485"/>
      </w:tblGrid>
      <w:tr w:rsidR="6DCE8907" w:rsidTr="6DCE8907" w14:paraId="340BAF6E">
        <w:trPr>
          <w:trHeight w:val="300"/>
        </w:trPr>
        <w:tc>
          <w:tcPr>
            <w:tcW w:w="279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42749136" w14:textId="1A15358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  <w:t>Lei ou regulamento</w:t>
            </w:r>
          </w:p>
        </w:tc>
        <w:tc>
          <w:tcPr>
            <w:tcW w:w="363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5066F8AF" w14:textId="1AAFC31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  <w:t>Situação na Suzano</w:t>
            </w:r>
          </w:p>
        </w:tc>
        <w:tc>
          <w:tcPr>
            <w:tcW w:w="16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1D2CAA48" w14:textId="6C1435A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  <w:t>Risco de descumprimento</w:t>
            </w:r>
          </w:p>
        </w:tc>
        <w:tc>
          <w:tcPr>
            <w:tcW w:w="148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5269FF3A" w14:textId="3F7EA2B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  <w:t>Fonte</w:t>
            </w:r>
          </w:p>
        </w:tc>
      </w:tr>
      <w:tr w:rsidR="6DCE8907" w:rsidTr="6DCE8907" w14:paraId="64407C8D">
        <w:trPr>
          <w:trHeight w:val="300"/>
        </w:trPr>
        <w:tc>
          <w:tcPr>
            <w:tcW w:w="279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6CBEC46F" w14:textId="7209CD7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Legislação ambiental e licenciamento das fábricas e florestas</w:t>
            </w:r>
          </w:p>
        </w:tc>
        <w:tc>
          <w:tcPr>
            <w:tcW w:w="363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7ACAA8D7" w14:textId="286D7D2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222 processos cíveis, ambientais e imobiliários (R$ 1,0 bi), sobre licenciamento, danos ambientais e conflitos com comunidades</w:t>
            </w:r>
          </w:p>
        </w:tc>
        <w:tc>
          <w:tcPr>
            <w:tcW w:w="16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6E9211EC" w14:textId="7F3C135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Alto – pode suspender operações</w:t>
            </w:r>
          </w:p>
        </w:tc>
        <w:tc>
          <w:tcPr>
            <w:tcW w:w="148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48E0E226" w14:textId="7BE8DB8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F1 p. 177</w:t>
            </w:r>
          </w:p>
        </w:tc>
      </w:tr>
      <w:tr w:rsidR="6DCE8907" w:rsidTr="6DCE8907" w14:paraId="68E7CFB8">
        <w:trPr>
          <w:trHeight w:val="300"/>
        </w:trPr>
        <w:tc>
          <w:tcPr>
            <w:tcW w:w="27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72AF503D" w14:textId="0536152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Lei Anticorrupção (Lei nº 12.846/2013) e leis estrangeiras equivalentes</w:t>
            </w:r>
          </w:p>
        </w:tc>
        <w:tc>
          <w:tcPr>
            <w:tcW w:w="3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54D40FF1" w14:textId="76E4F76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Política anticorrupção e de prevenção a fraudes; operações em mais de 10 países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12A49BD5" w14:textId="746334E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Moderado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3CD8D090" w14:textId="145A452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F1 p. 49</w:t>
            </w:r>
          </w:p>
        </w:tc>
      </w:tr>
      <w:tr w:rsidR="6DCE8907" w:rsidTr="6DCE8907" w14:paraId="0C4E9AD8">
        <w:trPr>
          <w:trHeight w:val="300"/>
        </w:trPr>
        <w:tc>
          <w:tcPr>
            <w:tcW w:w="27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74F40E43" w14:textId="3AF2FE8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Lei Sarbanes-Oxley e regras da SEC (ADRs na NYSE)</w:t>
            </w:r>
          </w:p>
        </w:tc>
        <w:tc>
          <w:tcPr>
            <w:tcW w:w="3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79DFA097" w14:textId="55152BE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Certificação dos controles sem deficiências materiais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47287BE0" w14:textId="30FF8F7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Baixo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713321B0" w14:textId="10346FE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F1 p. 49</w:t>
            </w:r>
          </w:p>
        </w:tc>
      </w:tr>
      <w:tr w:rsidR="6DCE8907" w:rsidTr="6DCE8907" w14:paraId="7E7AA7DA">
        <w:trPr>
          <w:trHeight w:val="300"/>
        </w:trPr>
        <w:tc>
          <w:tcPr>
            <w:tcW w:w="27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59E2DD46" w14:textId="78D8E8C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Lei Geral de Proteção de Dados (LGPD) e leis estrangeiras</w:t>
            </w:r>
          </w:p>
        </w:tc>
        <w:tc>
          <w:tcPr>
            <w:tcW w:w="3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22EE2C0D" w14:textId="100FD19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Programa de privacidade em processos no Brasil, Áustria, China e EUA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55DBBBFD" w14:textId="18BC8E9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Baixo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4E7A16A3" w14:textId="6848F6F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F1 p. 48</w:t>
            </w:r>
          </w:p>
        </w:tc>
      </w:tr>
      <w:tr w:rsidR="6DCE8907" w:rsidTr="6DCE8907" w14:paraId="0586B734">
        <w:trPr>
          <w:trHeight w:val="300"/>
        </w:trPr>
        <w:tc>
          <w:tcPr>
            <w:tcW w:w="279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0C4A2E32" w14:textId="5E759CB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Regras comerciais internacionais (tarifas dos EUA)</w:t>
            </w:r>
          </w:p>
        </w:tc>
        <w:tc>
          <w:tcPr>
            <w:tcW w:w="363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0511DF91" w14:textId="7B5C2BC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Afetaram o mercado de celulose em 2025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79F47A3B" w14:textId="53030EE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Moderado – efeito econômico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25555F00" w14:textId="1CAD476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F1 p. 42</w:t>
            </w:r>
          </w:p>
        </w:tc>
      </w:tr>
    </w:tbl>
    <w:p xmlns:wp14="http://schemas.microsoft.com/office/word/2010/wordml" w:rsidP="6DCE8907" wp14:paraId="36CCF5E8" wp14:textId="49AC7B2D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3864"/>
          <w:sz w:val="20"/>
          <w:szCs w:val="20"/>
          <w:lang w:val="pt-BR"/>
        </w:rPr>
      </w:pPr>
      <w:r w:rsidRPr="6DCE8907" w:rsidR="72B936F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7F7F7F" w:themeColor="text1" w:themeTint="80" w:themeShade="FF"/>
          <w:sz w:val="20"/>
          <w:szCs w:val="20"/>
          <w:lang w:val="pt-BR"/>
        </w:rPr>
        <w:t xml:space="preserve">4   </w:t>
      </w:r>
      <w:r w:rsidRPr="6DCE8907" w:rsidR="72B936F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20"/>
          <w:szCs w:val="20"/>
          <w:lang w:val="pt-BR"/>
        </w:rPr>
        <w:t>PROCEDIMENTOS DE AUDITORIA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890"/>
        <w:gridCol w:w="2700"/>
        <w:gridCol w:w="2025"/>
      </w:tblGrid>
      <w:tr w:rsidR="6DCE8907" w:rsidTr="6DCE8907" w14:paraId="5E2E83E7">
        <w:trPr>
          <w:trHeight w:val="300"/>
        </w:trPr>
        <w:tc>
          <w:tcPr>
            <w:tcW w:w="489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0180C632" w14:textId="4B781F0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  <w:t>Procedimento</w:t>
            </w:r>
          </w:p>
        </w:tc>
        <w:tc>
          <w:tcPr>
            <w:tcW w:w="27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50F747C2" w14:textId="34DB84D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  <w:t>Classificação</w:t>
            </w:r>
          </w:p>
        </w:tc>
        <w:tc>
          <w:tcPr>
            <w:tcW w:w="202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184CCB30" w14:textId="0DE803E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  <w:t>Evidência</w:t>
            </w:r>
          </w:p>
        </w:tc>
      </w:tr>
      <w:tr w:rsidR="6DCE8907" w:rsidTr="6DCE8907" w14:paraId="3AED4420">
        <w:trPr>
          <w:trHeight w:val="300"/>
        </w:trPr>
        <w:tc>
          <w:tcPr>
            <w:tcW w:w="489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5E1CEE33" w14:textId="13C0D8E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Mapear leis e processos relevantes a partir das notas e dos relatórios da governança (item 13)</w:t>
            </w:r>
          </w:p>
        </w:tc>
        <w:tc>
          <w:tcPr>
            <w:tcW w:w="270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11DBF4DB" w14:textId="68545D8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Realizado com evidência pública</w:t>
            </w:r>
          </w:p>
        </w:tc>
        <w:tc>
          <w:tcPr>
            <w:tcW w:w="202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10550D2C" w14:textId="5ABD695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Seção 3</w:t>
            </w:r>
          </w:p>
        </w:tc>
      </w:tr>
      <w:tr w:rsidR="6DCE8907" w:rsidTr="6DCE8907" w14:paraId="4F36BC8D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62C3ED64" w14:textId="1B64CC0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Comparar contingências de 2024 e 2025 por natureza (quantidade e valor)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5ACC9CE0" w14:textId="567B211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Realizado com evidência pública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642CFE7F" w14:textId="1D3B3CC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F1 p. 174–177 → PT 501</w:t>
            </w:r>
          </w:p>
        </w:tc>
      </w:tr>
      <w:tr w:rsidR="6DCE8907" w:rsidTr="6DCE8907" w14:paraId="2444063B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3798EE9B" w14:textId="3AD2B5E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Indagar administração e governança sobre o cumprimento de leis (item 15(a))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748FEBE3" w14:textId="47A2BEC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Planejado por falta de acesso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1754ABEA" w14:textId="69FA65A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→ PT 580</w:t>
            </w:r>
          </w:p>
        </w:tc>
      </w:tr>
      <w:tr w:rsidR="6DCE8907" w:rsidTr="6DCE8907" w14:paraId="1E8BD946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1F3671FA" w14:textId="7B9B27F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Inspecionar correspondência com Receita Federal, órgãos ambientais, CVM e SEC (item 15(b))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6E13D1B8" w14:textId="1672E81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Planejado por falta de acesso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3563EB54" w14:textId="3803AF8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—</w:t>
            </w:r>
          </w:p>
        </w:tc>
      </w:tr>
      <w:tr w:rsidR="6DCE8907" w:rsidTr="6DCE8907" w14:paraId="17F5A756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06BBCF07" w14:textId="614A969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Solicitar cartas dos advogados externos (confirmação de processos)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7C7EF8BF" w14:textId="629EDCD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Planejado por falta de acesso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35301896" w14:textId="69A5CBC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→ PT 505</w:t>
            </w:r>
          </w:p>
        </w:tc>
      </w:tr>
      <w:tr w:rsidR="6DCE8907" w:rsidTr="6DCE8907" w14:paraId="16BE25FF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329CCC88" w14:textId="4A71A70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Ler atas do Conselho, do Comitê de Auditoria e do Conselho Fiscal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5882722C" w14:textId="2417F95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Realizado parcialmente – resumos públicos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5BFAF9B4" w14:textId="6C32B8D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F1 p. 201–204</w:t>
            </w:r>
          </w:p>
        </w:tc>
      </w:tr>
      <w:tr w:rsidR="6DCE8907" w:rsidTr="6DCE8907" w14:paraId="263A9C09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7B156F70" w14:textId="2EAE191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Obter representação formal sobre conformidade com leis (item 16)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61A0D960" w14:textId="0F8279D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Planejado – minuta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65C2A1E7" w14:textId="35C6161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→ PT 580</w:t>
            </w:r>
          </w:p>
        </w:tc>
      </w:tr>
    </w:tbl>
    <w:p xmlns:wp14="http://schemas.microsoft.com/office/word/2010/wordml" w:rsidP="6DCE8907" wp14:paraId="4DA801F9" wp14:textId="35B033C7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7F7F7F" w:themeColor="text1" w:themeTint="80" w:themeShade="FF"/>
          <w:sz w:val="19"/>
          <w:szCs w:val="19"/>
          <w:lang w:val="pt-BR"/>
        </w:rPr>
      </w:pPr>
      <w:r w:rsidRPr="6DCE8907" w:rsidR="72B936F5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7F7F7F" w:themeColor="text1" w:themeTint="80" w:themeShade="FF"/>
          <w:sz w:val="19"/>
          <w:szCs w:val="19"/>
          <w:lang w:val="pt-BR"/>
        </w:rPr>
        <w:t>Resultado da comparação: processos ambientais e cíveis caíram de R$ 5,1 bi (201 casos) para R$ 1,0 bi (222 casos), e os tributários subiram de R$ 9,8 bi para R$ 10,4 bi. A forte redução dos cíveis deve ser explicada pela administração (PT 501).</w:t>
      </w:r>
    </w:p>
    <w:p xmlns:wp14="http://schemas.microsoft.com/office/word/2010/wordml" w:rsidP="6DCE8907" wp14:paraId="454CAD7A" wp14:textId="5CCA7B52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3864"/>
          <w:sz w:val="20"/>
          <w:szCs w:val="20"/>
          <w:lang w:val="pt-BR"/>
        </w:rPr>
      </w:pPr>
      <w:r w:rsidRPr="6DCE8907" w:rsidR="72B936F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7F7F7F" w:themeColor="text1" w:themeTint="80" w:themeShade="FF"/>
          <w:sz w:val="20"/>
          <w:szCs w:val="20"/>
          <w:lang w:val="pt-BR"/>
        </w:rPr>
        <w:t xml:space="preserve">5   </w:t>
      </w:r>
      <w:r w:rsidRPr="6DCE8907" w:rsidR="72B936F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20"/>
          <w:szCs w:val="20"/>
          <w:lang w:val="pt-BR"/>
        </w:rPr>
        <w:t>FLUXO DIANTE DE INDÍCIOS DE NÃO CONFORMIDADE (ITENS 19–29)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995"/>
        <w:gridCol w:w="6630"/>
        <w:gridCol w:w="990"/>
      </w:tblGrid>
      <w:tr w:rsidR="6DCE8907" w:rsidTr="6DCE8907" w14:paraId="3107BF28">
        <w:trPr>
          <w:trHeight w:val="300"/>
        </w:trPr>
        <w:tc>
          <w:tcPr>
            <w:tcW w:w="19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19CD0D1C" w14:textId="0372CCF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  <w:t>Etapa</w:t>
            </w:r>
          </w:p>
        </w:tc>
        <w:tc>
          <w:tcPr>
            <w:tcW w:w="663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6733F250" w14:textId="7500D1C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  <w:t>Ação do auditor</w:t>
            </w:r>
          </w:p>
        </w:tc>
        <w:tc>
          <w:tcPr>
            <w:tcW w:w="99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283A5475" w14:textId="5B675B0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  <w:t>Item</w:t>
            </w:r>
          </w:p>
        </w:tc>
      </w:tr>
      <w:tr w:rsidR="6DCE8907" w:rsidTr="6DCE8907" w14:paraId="2D47918C">
        <w:trPr>
          <w:trHeight w:val="300"/>
        </w:trPr>
        <w:tc>
          <w:tcPr>
            <w:tcW w:w="19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78EFA19B" w14:textId="65D1894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1. Entender</w:t>
            </w:r>
          </w:p>
        </w:tc>
        <w:tc>
          <w:tcPr>
            <w:tcW w:w="663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20A901C5" w14:textId="591087B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Obter entendimento da natureza do ato e das circunstâncias, e avaliar o possível efeito nas demonstrações</w:t>
            </w:r>
          </w:p>
        </w:tc>
        <w:tc>
          <w:tcPr>
            <w:tcW w:w="99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3CCE9E39" w14:textId="3A853FD5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19</w:t>
            </w:r>
          </w:p>
        </w:tc>
      </w:tr>
      <w:tr w:rsidR="6DCE8907" w:rsidTr="6DCE8907" w14:paraId="5033A1E2">
        <w:trPr>
          <w:trHeight w:val="300"/>
        </w:trPr>
        <w:tc>
          <w:tcPr>
            <w:tcW w:w="19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5352C24F" w14:textId="53CCEF1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2. Discutir</w:t>
            </w:r>
          </w:p>
        </w:tc>
        <w:tc>
          <w:tcPr>
            <w:tcW w:w="6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6BA44ECC" w14:textId="3A7D5D5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Discutir com a administração e, se adequado, com a governança; se não houver explicação suficiente, consultar o jurídico</w:t>
            </w:r>
          </w:p>
        </w:tc>
        <w:tc>
          <w:tcPr>
            <w:tcW w:w="9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37CB6E2E" w14:textId="101C5777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20–21</w:t>
            </w:r>
          </w:p>
        </w:tc>
      </w:tr>
      <w:tr w:rsidR="6DCE8907" w:rsidTr="6DCE8907" w14:paraId="5DDD14E0">
        <w:trPr>
          <w:trHeight w:val="300"/>
        </w:trPr>
        <w:tc>
          <w:tcPr>
            <w:tcW w:w="19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14371F32" w14:textId="181E03B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3. Avaliar</w:t>
            </w:r>
          </w:p>
        </w:tc>
        <w:tc>
          <w:tcPr>
            <w:tcW w:w="6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662339B9" w14:textId="1897ED8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Avaliar as implicações na avaliação de riscos e na confiabilidade das representações da administração</w:t>
            </w:r>
          </w:p>
        </w:tc>
        <w:tc>
          <w:tcPr>
            <w:tcW w:w="9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527BFE26" w14:textId="00CF3BCC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22</w:t>
            </w:r>
          </w:p>
        </w:tc>
      </w:tr>
      <w:tr w:rsidR="6DCE8907" w:rsidTr="6DCE8907" w14:paraId="5E54B07A">
        <w:trPr>
          <w:trHeight w:val="300"/>
        </w:trPr>
        <w:tc>
          <w:tcPr>
            <w:tcW w:w="19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303AD8D6" w14:textId="2E09502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4. Comunicar à governança</w:t>
            </w:r>
          </w:p>
        </w:tc>
        <w:tc>
          <w:tcPr>
            <w:tcW w:w="6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0B1D3CB0" w14:textId="4F088E2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Comunicar ao Comitê de Auditoria e ao Conselho os casos que não sejam claramente sem importância; se intencionais e relevantes, comunicar o quanto antes</w:t>
            </w:r>
          </w:p>
        </w:tc>
        <w:tc>
          <w:tcPr>
            <w:tcW w:w="9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6FED207A" w14:textId="3AE92E98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23–24</w:t>
            </w:r>
          </w:p>
        </w:tc>
      </w:tr>
      <w:tr w:rsidR="6DCE8907" w:rsidTr="6DCE8907" w14:paraId="4D4E1995">
        <w:trPr>
          <w:trHeight w:val="300"/>
        </w:trPr>
        <w:tc>
          <w:tcPr>
            <w:tcW w:w="19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7EFEF088" w14:textId="3C2C948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5. Relatório</w:t>
            </w:r>
          </w:p>
        </w:tc>
        <w:tc>
          <w:tcPr>
            <w:tcW w:w="6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3D6D7F55" w14:textId="6EBF054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Modificar a opinião se o efeito for relevante e não estiver refletido nas demonstrações, ou se houver limitação de alcance</w:t>
            </w:r>
          </w:p>
        </w:tc>
        <w:tc>
          <w:tcPr>
            <w:tcW w:w="9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5B204BA1" w14:textId="4827BC23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26–28</w:t>
            </w:r>
          </w:p>
        </w:tc>
      </w:tr>
      <w:tr w:rsidR="6DCE8907" w:rsidTr="6DCE8907" w14:paraId="2AD283AC">
        <w:trPr>
          <w:trHeight w:val="300"/>
        </w:trPr>
        <w:tc>
          <w:tcPr>
            <w:tcW w:w="19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4D26E2A6" w14:textId="3C65853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6. Autoridades</w:t>
            </w:r>
          </w:p>
        </w:tc>
        <w:tc>
          <w:tcPr>
            <w:tcW w:w="663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4FEA888A" w14:textId="74348CB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Avaliar se a lei ou a ética exigem comunicar a autoridade externa – no Brasil, por exemplo, a CVM (Resolução CVM nº 23/2021) e o Coaf (Lei nº 9.613/1998 e Resolução CFC nº 1.530/2017)</w:t>
            </w:r>
          </w:p>
        </w:tc>
        <w:tc>
          <w:tcPr>
            <w:tcW w:w="99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5F2994B1" w14:textId="47BC8F11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29</w:t>
            </w:r>
          </w:p>
        </w:tc>
      </w:tr>
    </w:tbl>
    <w:p xmlns:wp14="http://schemas.microsoft.com/office/word/2010/wordml" w:rsidP="6DCE8907" wp14:paraId="03095425" wp14:textId="2F191942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3864"/>
          <w:sz w:val="20"/>
          <w:szCs w:val="20"/>
          <w:lang w:val="pt-BR"/>
        </w:rPr>
      </w:pPr>
      <w:r w:rsidRPr="6DCE8907" w:rsidR="72B936F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7F7F7F" w:themeColor="text1" w:themeTint="80" w:themeShade="FF"/>
          <w:sz w:val="20"/>
          <w:szCs w:val="20"/>
          <w:lang w:val="pt-BR"/>
        </w:rPr>
        <w:t xml:space="preserve">6   </w:t>
      </w:r>
      <w:r w:rsidRPr="6DCE8907" w:rsidR="72B936F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20"/>
          <w:szCs w:val="20"/>
          <w:lang w:val="pt-BR"/>
        </w:rPr>
        <w:t>CONCLUSÃO E LIMITAÇÕES</w:t>
      </w:r>
    </w:p>
    <w:p xmlns:wp14="http://schemas.microsoft.com/office/word/2010/wordml" w:rsidP="6DCE8907" wp14:paraId="5990C912" wp14:textId="7C2E9DE6">
      <w:pPr>
        <w:bidi w:val="0"/>
        <w:spacing w:after="10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</w:pPr>
      <w:r w:rsidRPr="6DCE8907" w:rsidR="72B936F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  <w:t xml:space="preserve">Resultado. </w:t>
      </w:r>
      <w:r w:rsidRPr="6DCE8907" w:rsidR="72B936F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  <w:t>As leis tributárias e ambientais são as de maior risco de descumprimento, coerentes com o PAA de contingências da PwC. Não foram identificados indícios de não conformidade não divulgada nas fontes públicas. Sem exceções.</w:t>
      </w:r>
    </w:p>
    <w:p xmlns:wp14="http://schemas.microsoft.com/office/word/2010/wordml" w:rsidP="6DCE8907" wp14:paraId="75C3F2C7" wp14:textId="28FA8EC4">
      <w:pPr>
        <w:bidi w:val="0"/>
        <w:spacing w:after="10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</w:pPr>
      <w:r w:rsidRPr="6DCE8907" w:rsidR="72B936F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  <w:t xml:space="preserve">Limitações. </w:t>
      </w:r>
      <w:r w:rsidRPr="6DCE8907" w:rsidR="72B936F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  <w:t>Sem acesso a correspondências com autoridades, atas completas, cartas de advogados e sistemas de compliance; o mapeamento depende do que a Companhia divulgou.</w:t>
      </w:r>
    </w:p>
    <w:p xmlns:wp14="http://schemas.microsoft.com/office/word/2010/wordml" w:rsidP="6DCE8907" wp14:paraId="7CD6A429" wp14:textId="62D8E623">
      <w:pPr>
        <w:bidi w:val="0"/>
        <w:spacing w:after="10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</w:pPr>
      <w:r w:rsidRPr="6DCE8907" w:rsidR="72B936F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  <w:t xml:space="preserve">Referências cruzadas. </w:t>
      </w:r>
      <w:r w:rsidRPr="6DCE8907" w:rsidR="72B936F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  <w:t>PT 240 (fraude), PT 260 (governança), PT 315 (riscos), PT 501 (litígios), PT 505 (confirmação de advogados), PT 540 (contingências), PT 570 (continuidade) e PT 580 (representações).</w:t>
      </w:r>
    </w:p>
    <w:p xmlns:wp14="http://schemas.microsoft.com/office/word/2010/wordml" w:rsidP="6DCE8907" wp14:paraId="41B2DE8D" wp14:textId="7F6EA847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3864"/>
          <w:sz w:val="20"/>
          <w:szCs w:val="20"/>
          <w:lang w:val="pt-BR"/>
        </w:rPr>
      </w:pPr>
      <w:r w:rsidRPr="6DCE8907" w:rsidR="72B936F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7F7F7F" w:themeColor="text1" w:themeTint="80" w:themeShade="FF"/>
          <w:sz w:val="20"/>
          <w:szCs w:val="20"/>
          <w:lang w:val="pt-BR"/>
        </w:rPr>
        <w:t xml:space="preserve">7   </w:t>
      </w:r>
      <w:r w:rsidRPr="6DCE8907" w:rsidR="72B936F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20"/>
          <w:szCs w:val="20"/>
          <w:lang w:val="pt-BR"/>
        </w:rPr>
        <w:t>PREPARAÇÃO E REVISÃO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195"/>
        <w:gridCol w:w="1800"/>
        <w:gridCol w:w="2835"/>
        <w:gridCol w:w="1800"/>
      </w:tblGrid>
      <w:tr w:rsidR="6DCE8907" w:rsidTr="6DCE8907" w14:paraId="1A45A6C7">
        <w:trPr>
          <w:trHeight w:val="300"/>
        </w:trPr>
        <w:tc>
          <w:tcPr>
            <w:tcW w:w="31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42C553A2" w14:textId="6980E11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  <w:t>Preparado por (matrícula)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36686DF0" w14:textId="7E0DDDB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  <w:t>Data</w:t>
            </w:r>
          </w:p>
        </w:tc>
        <w:tc>
          <w:tcPr>
            <w:tcW w:w="28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0958F786" w14:textId="0613D8E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  <w:t>Revisado por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2DD53ACB" w14:textId="18A6993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  <w:t>Data da revisão</w:t>
            </w:r>
          </w:p>
        </w:tc>
      </w:tr>
      <w:tr w:rsidR="6DCE8907" w:rsidTr="6DCE8907" w14:paraId="468EFB50">
        <w:trPr>
          <w:trHeight w:val="300"/>
        </w:trPr>
        <w:tc>
          <w:tcPr>
            <w:tcW w:w="31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43DECED6" w14:textId="3855D9C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241003769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54EBC3A9" w14:textId="4CEC502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6DCE8907" w:rsidR="6DCE890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20/10/2026</w:t>
            </w:r>
          </w:p>
        </w:tc>
        <w:tc>
          <w:tcPr>
            <w:tcW w:w="28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77047F84" w14:textId="6A5EB68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9"/>
                <w:szCs w:val="19"/>
                <w:lang w:val="pt-BR"/>
              </w:rPr>
            </w:pP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DCE8907" w:rsidP="6DCE8907" w:rsidRDefault="6DCE8907" w14:paraId="071F8DAF" w14:textId="4177548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9"/>
                <w:szCs w:val="19"/>
                <w:lang w:val="pt-BR"/>
              </w:rPr>
            </w:pPr>
          </w:p>
        </w:tc>
      </w:tr>
    </w:tbl>
    <w:p xmlns:wp14="http://schemas.microsoft.com/office/word/2010/wordml" w:rsidP="6DCE8907" wp14:paraId="06F7000B" wp14:textId="22757DE6">
      <w:pPr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</w:pPr>
    </w:p>
    <w:p xmlns:wp14="http://schemas.microsoft.com/office/word/2010/wordml" w:rsidP="6DCE8907" wp14:paraId="1E207724" wp14:textId="7E3D78CD">
      <w:pPr>
        <w:pStyle w:val="Normal"/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3c4e0ec82d64414e"/>
      <w:footerReference w:type="default" r:id="R6160bab0a5394f6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DCE8907" w:rsidTr="6DCE8907" w14:paraId="31351362">
      <w:trPr>
        <w:trHeight w:val="300"/>
      </w:trPr>
      <w:tc>
        <w:tcPr>
          <w:tcW w:w="3005" w:type="dxa"/>
          <w:tcMar/>
        </w:tcPr>
        <w:p w:rsidR="6DCE8907" w:rsidP="6DCE8907" w:rsidRDefault="6DCE8907" w14:paraId="1377EA6A" w14:textId="4F7EB5A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DCE8907" w:rsidP="6DCE8907" w:rsidRDefault="6DCE8907" w14:paraId="2732992B" w14:textId="42DB944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DCE8907" w:rsidP="6DCE8907" w:rsidRDefault="6DCE8907" w14:paraId="1B741C0B" w14:textId="54F389A3">
          <w:pPr>
            <w:pStyle w:val="Header"/>
            <w:bidi w:val="0"/>
            <w:ind w:right="-115"/>
            <w:jc w:val="right"/>
          </w:pPr>
        </w:p>
      </w:tc>
    </w:tr>
  </w:tbl>
  <w:p w:rsidR="6DCE8907" w:rsidP="6DCE8907" w:rsidRDefault="6DCE8907" w14:paraId="69AE3B21" w14:textId="755FA8F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7155"/>
    </w:tblGrid>
    <w:tr w:rsidR="6DCE8907" w:rsidTr="6DCE8907" w14:paraId="48649118">
      <w:trPr>
        <w:trHeight w:val="300"/>
      </w:trPr>
      <w:tc>
        <w:tcPr>
          <w:tcW w:w="3005" w:type="dxa"/>
          <w:tcMar/>
        </w:tcPr>
        <w:p w:rsidR="6DCE8907" w:rsidP="6DCE8907" w:rsidRDefault="6DCE8907" w14:paraId="669C55C9" w14:textId="299BEF2F">
          <w:pPr>
            <w:pStyle w:val="Header"/>
            <w:bidi w:val="0"/>
            <w:jc w:val="center"/>
          </w:pPr>
        </w:p>
      </w:tc>
      <w:tc>
        <w:tcPr>
          <w:tcW w:w="7155" w:type="dxa"/>
          <w:tcMar/>
        </w:tcPr>
        <w:p w:rsidR="6DCE8907" w:rsidP="6DCE8907" w:rsidRDefault="6DCE8907" w14:paraId="5B6C9BD4" w14:textId="1F9B0D53">
          <w:pPr>
            <w:pStyle w:val="Header"/>
            <w:bidi w:val="0"/>
            <w:ind w:left="-115" w:right="90"/>
            <w:jc w:val="right"/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</w:pPr>
          <w:r w:rsidRPr="6DCE8907" w:rsidR="6DCE8907"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  <w:t xml:space="preserve">Auditoria 1 – UnB 2026.2 | Suzano S.A. 2025 | PT </w:t>
          </w:r>
          <w:r w:rsidRPr="6DCE8907" w:rsidR="6DCE8907"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  <w:t>250</w:t>
          </w:r>
        </w:p>
      </w:tc>
    </w:tr>
  </w:tbl>
  <w:p w:rsidR="6DCE8907" w:rsidP="6DCE8907" w:rsidRDefault="6DCE8907" w14:paraId="7CEC1A61" w14:textId="72DED17D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HKxczNDBNeCmo7" int2:id="4ZtIDvy3">
      <int2:state int2:type="spell" int2:value="Rejected"/>
    </int2:textHash>
    <int2:textHash int2:hashCode="bM4lz2eCVfDC4I" int2:id="5VI42hTp">
      <int2:state int2:type="spell" int2:value="Rejected"/>
    </int2:textHash>
    <int2:textHash int2:hashCode="jz11khmS9GYRcU" int2:id="Ybav2HBm">
      <int2:state int2:type="spell" int2:value="Rejected"/>
    </int2:textHash>
    <int2:textHash int2:hashCode="u46xfKsC+BLI1A" int2:id="EOdvPcP7">
      <int2:state int2:type="spell" int2:value="Rejected"/>
    </int2:textHash>
    <int2:textHash int2:hashCode="jZKIYoBOflOeg0" int2:id="oXsQnd2C">
      <int2:state int2:type="spell" int2:value="Rejected"/>
    </int2:textHash>
    <int2:textHash int2:hashCode="GFP9Qn0Iu5iRwc" int2:id="p7u2KCWd">
      <int2:state int2:type="spell" int2:value="Rejected"/>
    </int2:textHash>
    <int2:textHash int2:hashCode="T/dfgJV0acS2r1" int2:id="fY0yBU6r">
      <int2:state int2:type="spell" int2:value="Rejected"/>
    </int2:textHash>
    <int2:bookmark int2:bookmarkName="_Int_rpkpRZH2" int2:invalidationBookmarkName="" int2:hashCode="k1Jv7zJV71EgsR" int2:id="3z6r0OCh">
      <int2:state int2:type="gram" int2:value="Rejected"/>
    </int2:bookmark>
    <int2:bookmark int2:bookmarkName="_Int_4vk7kvs6" int2:invalidationBookmarkName="" int2:hashCode="6EFFUsVuhbVfN2" int2:id="J1XMU3Zn">
      <int2:state int2:type="gram" int2:value="Rejected"/>
    </int2:bookmark>
    <int2:bookmark int2:bookmarkName="_Int_z0MzMTnz" int2:invalidationBookmarkName="" int2:hashCode="V9LxqTRUiuWI44" int2:id="Hi09E65E">
      <int2:state int2:type="gram" int2:value="Rejected"/>
    </int2:bookmark>
    <int2:bookmark int2:bookmarkName="_Int_ib8lgMbm" int2:invalidationBookmarkName="" int2:hashCode="8CkoB/EwiQh7bu" int2:id="K3xnLwUF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41ea7d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9c037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f3a16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fa254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fd192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2fafd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9b5b4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69a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500" w:hanging="2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D20B83"/>
    <w:rsid w:val="011A83B6"/>
    <w:rsid w:val="01306683"/>
    <w:rsid w:val="01746230"/>
    <w:rsid w:val="0223C95E"/>
    <w:rsid w:val="022D2EA2"/>
    <w:rsid w:val="024C4755"/>
    <w:rsid w:val="027F62E5"/>
    <w:rsid w:val="038540D8"/>
    <w:rsid w:val="05184C4B"/>
    <w:rsid w:val="059CB6AA"/>
    <w:rsid w:val="06608DB5"/>
    <w:rsid w:val="073EEE6D"/>
    <w:rsid w:val="08AE989A"/>
    <w:rsid w:val="09673444"/>
    <w:rsid w:val="0ABBD582"/>
    <w:rsid w:val="0D4925F2"/>
    <w:rsid w:val="0D616FB3"/>
    <w:rsid w:val="0E30FB40"/>
    <w:rsid w:val="0E948883"/>
    <w:rsid w:val="12708081"/>
    <w:rsid w:val="131A14A3"/>
    <w:rsid w:val="134DD7FB"/>
    <w:rsid w:val="134DD7FB"/>
    <w:rsid w:val="13C18680"/>
    <w:rsid w:val="13EAC771"/>
    <w:rsid w:val="14BAA7E7"/>
    <w:rsid w:val="14E42F05"/>
    <w:rsid w:val="1883A56F"/>
    <w:rsid w:val="1884274B"/>
    <w:rsid w:val="19CD751C"/>
    <w:rsid w:val="19D6320C"/>
    <w:rsid w:val="1A8C2314"/>
    <w:rsid w:val="1A9002EE"/>
    <w:rsid w:val="1B1160CE"/>
    <w:rsid w:val="1BE28AC6"/>
    <w:rsid w:val="1C0D7C78"/>
    <w:rsid w:val="1C57F14B"/>
    <w:rsid w:val="1E0594DC"/>
    <w:rsid w:val="1E1A72D4"/>
    <w:rsid w:val="1E50F5FE"/>
    <w:rsid w:val="1E972531"/>
    <w:rsid w:val="2042C1AA"/>
    <w:rsid w:val="20611B13"/>
    <w:rsid w:val="22198A17"/>
    <w:rsid w:val="24005765"/>
    <w:rsid w:val="25529155"/>
    <w:rsid w:val="2668DAE6"/>
    <w:rsid w:val="271F7ECF"/>
    <w:rsid w:val="2AC5FBB5"/>
    <w:rsid w:val="2B2AD0CC"/>
    <w:rsid w:val="2F627354"/>
    <w:rsid w:val="30B63283"/>
    <w:rsid w:val="310A644E"/>
    <w:rsid w:val="3144C377"/>
    <w:rsid w:val="321D0DD1"/>
    <w:rsid w:val="32FF3506"/>
    <w:rsid w:val="362D2E0B"/>
    <w:rsid w:val="36BB4CB8"/>
    <w:rsid w:val="37702721"/>
    <w:rsid w:val="37EC1079"/>
    <w:rsid w:val="381A9377"/>
    <w:rsid w:val="39068857"/>
    <w:rsid w:val="3930D397"/>
    <w:rsid w:val="3A534784"/>
    <w:rsid w:val="3A5EA17B"/>
    <w:rsid w:val="3ADE138A"/>
    <w:rsid w:val="3B21F213"/>
    <w:rsid w:val="3C38817C"/>
    <w:rsid w:val="3E1486F0"/>
    <w:rsid w:val="3E6E76E0"/>
    <w:rsid w:val="3E7A4EB2"/>
    <w:rsid w:val="3F2E0EE4"/>
    <w:rsid w:val="405C3F0F"/>
    <w:rsid w:val="4076952D"/>
    <w:rsid w:val="437E3339"/>
    <w:rsid w:val="44E2F39A"/>
    <w:rsid w:val="44E75B3E"/>
    <w:rsid w:val="4571A110"/>
    <w:rsid w:val="458D3F8A"/>
    <w:rsid w:val="481BC9E5"/>
    <w:rsid w:val="48B878B7"/>
    <w:rsid w:val="499A6DA5"/>
    <w:rsid w:val="4A6CCC25"/>
    <w:rsid w:val="4C2BCC65"/>
    <w:rsid w:val="4C778481"/>
    <w:rsid w:val="4C792232"/>
    <w:rsid w:val="4CB49A8C"/>
    <w:rsid w:val="4DEDACF9"/>
    <w:rsid w:val="4F27EE36"/>
    <w:rsid w:val="4FD42890"/>
    <w:rsid w:val="50E19BE1"/>
    <w:rsid w:val="51672B92"/>
    <w:rsid w:val="518F9E19"/>
    <w:rsid w:val="51DA259B"/>
    <w:rsid w:val="51DE326D"/>
    <w:rsid w:val="5344D2F2"/>
    <w:rsid w:val="54244B1B"/>
    <w:rsid w:val="542EB4C9"/>
    <w:rsid w:val="56163189"/>
    <w:rsid w:val="57801450"/>
    <w:rsid w:val="58225285"/>
    <w:rsid w:val="5833D511"/>
    <w:rsid w:val="5A474709"/>
    <w:rsid w:val="5B2C69A3"/>
    <w:rsid w:val="5BC5AA9B"/>
    <w:rsid w:val="5C58FB2D"/>
    <w:rsid w:val="5C9C4987"/>
    <w:rsid w:val="5D2882FE"/>
    <w:rsid w:val="5D2931F0"/>
    <w:rsid w:val="5E2321B4"/>
    <w:rsid w:val="5E2D2769"/>
    <w:rsid w:val="5F4BBD12"/>
    <w:rsid w:val="5FEDE9D1"/>
    <w:rsid w:val="6046D935"/>
    <w:rsid w:val="60738780"/>
    <w:rsid w:val="60DB19B1"/>
    <w:rsid w:val="61C2A11A"/>
    <w:rsid w:val="61C346DF"/>
    <w:rsid w:val="62FF6043"/>
    <w:rsid w:val="63205F1C"/>
    <w:rsid w:val="632D14A5"/>
    <w:rsid w:val="6424C402"/>
    <w:rsid w:val="656EBC66"/>
    <w:rsid w:val="676B3C17"/>
    <w:rsid w:val="68147977"/>
    <w:rsid w:val="68156EEA"/>
    <w:rsid w:val="6988F2A9"/>
    <w:rsid w:val="6A4994F7"/>
    <w:rsid w:val="6AAD1B46"/>
    <w:rsid w:val="6ADDB7AE"/>
    <w:rsid w:val="6B3C6FAB"/>
    <w:rsid w:val="6C6BB954"/>
    <w:rsid w:val="6C76A16F"/>
    <w:rsid w:val="6CD9F37B"/>
    <w:rsid w:val="6D5E6689"/>
    <w:rsid w:val="6DCE8907"/>
    <w:rsid w:val="6E8E8995"/>
    <w:rsid w:val="6EE1D0E0"/>
    <w:rsid w:val="6F10F671"/>
    <w:rsid w:val="70C8A8D8"/>
    <w:rsid w:val="7165B74A"/>
    <w:rsid w:val="71D6414C"/>
    <w:rsid w:val="727407FA"/>
    <w:rsid w:val="72B936F5"/>
    <w:rsid w:val="73E91AE4"/>
    <w:rsid w:val="759CB2A2"/>
    <w:rsid w:val="7641FD9E"/>
    <w:rsid w:val="77026C05"/>
    <w:rsid w:val="78309E6D"/>
    <w:rsid w:val="78A13169"/>
    <w:rsid w:val="7980DA60"/>
    <w:rsid w:val="7AECFA50"/>
    <w:rsid w:val="7BB5E64C"/>
    <w:rsid w:val="7BDA1864"/>
    <w:rsid w:val="7C8D4AD5"/>
    <w:rsid w:val="7C9284D6"/>
    <w:rsid w:val="7DB7A68F"/>
    <w:rsid w:val="7E76A2F3"/>
    <w:rsid w:val="7ED20B83"/>
    <w:rsid w:val="7EF7B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8840C"/>
  <w15:chartTrackingRefBased/>
  <w15:docId w15:val="{AE9EA3DC-B2E8-448C-B859-C51B310DFD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6DCE8907"/>
    <w:rPr>
      <w:noProof w:val="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DCE8907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6DCE890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DCE8907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6DCE8907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1.cfc.org.br/sisweb/sre/detalhes_sre.aspx?codigo=2019/NBCTA250" TargetMode="External" Id="R0bd9dbc3c5da4966" /><Relationship Type="http://schemas.openxmlformats.org/officeDocument/2006/relationships/hyperlink" Target="https://www.rad.cvm.gov.br/ENETWEB/frmGerenciaPaginaFRE.aspx?NumeroSequencialDocumento=154674&amp;CodigoTipoInstituicao=1" TargetMode="External" Id="R5a7573ca70554852" /><Relationship Type="http://schemas.openxmlformats.org/officeDocument/2006/relationships/hyperlink" Target="https://www1.cfc.org.br/sisweb/sre/detalhes_sre.aspx?codigo=2019/NBCTA250" TargetMode="External" Id="Rad08e808dfcc4ee2" /><Relationship Type="http://schemas.openxmlformats.org/officeDocument/2006/relationships/header" Target="header.xml" Id="R3c4e0ec82d64414e" /><Relationship Type="http://schemas.openxmlformats.org/officeDocument/2006/relationships/footer" Target="footer.xml" Id="R6160bab0a5394f63" /><Relationship Type="http://schemas.microsoft.com/office/2020/10/relationships/intelligence" Target="intelligence2.xml" Id="R29ce229e7c604206" /><Relationship Type="http://schemas.openxmlformats.org/officeDocument/2006/relationships/numbering" Target="numbering.xml" Id="Rcc69b61676db432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2026-10-19T18:31:55.3078925Z</dcterms:created>
  <dcterms:modified xsi:type="dcterms:W3CDTF">2026-10-20T19:40:55.4533604Z</dcterms:modified>
  <dc:creator>Gabriela Aparecida Parreira</dc:creator>
  <lastModifiedBy>Gabriela Aparecida Parreira</lastModifiedBy>
</coreProperties>
</file>