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.xml" ContentType="application/vnd.openxmlformats-officedocument.wordprocessingml.header+xml"/>
  <Override PartName="/word/footer.xml" ContentType="application/vnd.openxmlformats-officedocument.wordprocessingml.footer+xml"/>
  <Override PartName="/word/intelligence2.xml" ContentType="application/vnd.ms-office.intelligence2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xmlns:wp14="http://schemas.microsoft.com/office/word/2010/wordml" w:rsidP="27277103" wp14:paraId="0BE5AA8B" wp14:textId="172B6F95">
      <w:pPr>
        <w:bidi w:val="0"/>
        <w:spacing w:after="4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7F7F7F" w:themeColor="text1" w:themeTint="80" w:themeShade="FF"/>
          <w:sz w:val="15"/>
          <w:szCs w:val="15"/>
        </w:rPr>
      </w:pPr>
      <w:r w:rsidRPr="27277103" w:rsidR="7BA0699E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7F7F7F" w:themeColor="text1" w:themeTint="80" w:themeShade="FF"/>
          <w:sz w:val="15"/>
          <w:szCs w:val="15"/>
        </w:rPr>
        <w:t xml:space="preserve">DOSSIÊ DE AUDITORIA </w:t>
      </w:r>
      <w:r w:rsidRPr="27277103" w:rsidR="7BA0699E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7F7F7F" w:themeColor="text1" w:themeTint="80" w:themeShade="FF"/>
          <w:sz w:val="15"/>
          <w:szCs w:val="15"/>
        </w:rPr>
        <w:t>· SUZANO</w:t>
      </w:r>
      <w:r w:rsidRPr="27277103" w:rsidR="7BA0699E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7F7F7F" w:themeColor="text1" w:themeTint="80" w:themeShade="FF"/>
          <w:sz w:val="15"/>
          <w:szCs w:val="15"/>
        </w:rPr>
        <w:t xml:space="preserve"> S.A.  · EXERCÍCIO 2025</w:t>
      </w:r>
    </w:p>
    <w:p xmlns:wp14="http://schemas.microsoft.com/office/word/2010/wordml" w:rsidP="27277103" wp14:paraId="4D22AE44" wp14:textId="49F952E5">
      <w:pPr>
        <w:bidi w:val="0"/>
        <w:spacing w:after="20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262626" w:themeColor="text1" w:themeTint="D9" w:themeShade="FF"/>
          <w:sz w:val="34"/>
          <w:szCs w:val="34"/>
        </w:rPr>
      </w:pPr>
      <w:r w:rsidRPr="27277103" w:rsidR="7BA0699E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color w:val="1F3864"/>
          <w:sz w:val="34"/>
          <w:szCs w:val="34"/>
        </w:rPr>
        <w:t xml:space="preserve">PT </w:t>
      </w:r>
      <w:r w:rsidRPr="27277103" w:rsidR="7BA0699E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color w:val="1F3864"/>
          <w:sz w:val="34"/>
          <w:szCs w:val="34"/>
        </w:rPr>
        <w:t xml:space="preserve">300 - </w:t>
      </w:r>
      <w:r w:rsidRPr="27277103" w:rsidR="7BA0699E">
        <w:rPr>
          <w:rFonts w:ascii="Arial" w:hAnsi="Arial" w:eastAsia="Arial" w:cs="Arial" w:asciiTheme="minorAscii" w:hAnsiTheme="minorAscii" w:eastAsiaTheme="minorAscii" w:cstheme="minorBidi"/>
          <w:b w:val="1"/>
          <w:bCs w:val="1"/>
          <w:i w:val="0"/>
          <w:iCs w:val="0"/>
          <w:caps w:val="0"/>
          <w:smallCaps w:val="0"/>
          <w:color w:val="1F3864"/>
          <w:sz w:val="34"/>
          <w:szCs w:val="34"/>
        </w:rPr>
        <w:t>Planejamento</w:t>
      </w:r>
      <w:r w:rsidRPr="27277103" w:rsidR="7BA0699E">
        <w:rPr>
          <w:rFonts w:ascii="Arial" w:hAnsi="Arial" w:eastAsia="Arial" w:cs="Arial" w:asciiTheme="minorAscii" w:hAnsiTheme="minorAscii" w:eastAsiaTheme="minorAscii" w:cstheme="minorBidi"/>
          <w:b w:val="1"/>
          <w:bCs w:val="1"/>
          <w:i w:val="0"/>
          <w:iCs w:val="0"/>
          <w:caps w:val="0"/>
          <w:smallCaps w:val="0"/>
          <w:color w:val="1F3864"/>
          <w:sz w:val="34"/>
          <w:szCs w:val="34"/>
        </w:rPr>
        <w:t xml:space="preserve"> da auditoria</w:t>
      </w:r>
    </w:p>
    <w:tbl>
      <w:tblPr>
        <w:tblStyle w:val="TableNormal"/>
        <w:bidiVisual w:val="0"/>
        <w:tblW w:w="0" w:type="auto"/>
        <w:tblBorders>
          <w:top w:val="single" w:sz="6"/>
          <w:left w:val="single" w:sz="6"/>
          <w:bottom w:val="single" w:sz="6"/>
          <w:right w:val="single" w:sz="6"/>
        </w:tblBorders>
        <w:tblLook w:val="06A0" w:firstRow="1" w:lastRow="0" w:firstColumn="1" w:lastColumn="0" w:noHBand="1" w:noVBand="1"/>
      </w:tblPr>
      <w:tblGrid>
        <w:gridCol w:w="1590"/>
        <w:gridCol w:w="3705"/>
        <w:gridCol w:w="4320"/>
      </w:tblGrid>
      <w:tr w:rsidR="27277103" w:rsidTr="27277103" w14:paraId="5855DDD2">
        <w:trPr>
          <w:trHeight w:val="300"/>
        </w:trPr>
        <w:tc>
          <w:tcPr>
            <w:tcW w:w="1590" w:type="dxa"/>
            <w:tcBorders>
              <w:top w:val="nil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27277103" w:rsidP="27277103" w:rsidRDefault="27277103" w14:paraId="01E06981" w14:textId="570F7C2D">
            <w:pPr>
              <w:bidi w:val="0"/>
              <w:spacing w:after="20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7F7F7F" w:themeColor="text1" w:themeTint="80" w:themeShade="FF"/>
                <w:sz w:val="14"/>
                <w:szCs w:val="14"/>
              </w:rPr>
            </w:pPr>
            <w:r w:rsidRPr="27277103" w:rsidR="27277103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7F7F7F" w:themeColor="text1" w:themeTint="80" w:themeShade="FF"/>
                <w:sz w:val="14"/>
                <w:szCs w:val="14"/>
              </w:rPr>
              <w:t>CÓDIGO</w:t>
            </w:r>
          </w:p>
          <w:p w:rsidR="27277103" w:rsidP="27277103" w:rsidRDefault="27277103" w14:paraId="1020AA68" w14:textId="3A5E41D9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8"/>
                <w:szCs w:val="18"/>
              </w:rPr>
            </w:pPr>
            <w:r w:rsidRPr="27277103" w:rsidR="27277103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8"/>
                <w:szCs w:val="18"/>
              </w:rPr>
              <w:t>PT 300</w:t>
            </w:r>
          </w:p>
        </w:tc>
        <w:tc>
          <w:tcPr>
            <w:tcW w:w="3705" w:type="dxa"/>
            <w:tcBorders>
              <w:top w:val="nil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27277103" w:rsidP="27277103" w:rsidRDefault="27277103" w14:paraId="3AEFF5BF" w14:textId="1BE088C1">
            <w:pPr>
              <w:bidi w:val="0"/>
              <w:spacing w:after="20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7F7F7F" w:themeColor="text1" w:themeTint="80" w:themeShade="FF"/>
                <w:sz w:val="14"/>
                <w:szCs w:val="14"/>
              </w:rPr>
            </w:pPr>
            <w:r w:rsidRPr="27277103" w:rsidR="27277103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7F7F7F" w:themeColor="text1" w:themeTint="80" w:themeShade="FF"/>
                <w:sz w:val="14"/>
                <w:szCs w:val="14"/>
              </w:rPr>
              <w:t>ENTIDADE</w:t>
            </w:r>
          </w:p>
          <w:p w:rsidR="27277103" w:rsidP="27277103" w:rsidRDefault="27277103" w14:paraId="51094C13" w14:textId="316E6404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8"/>
                <w:szCs w:val="18"/>
              </w:rPr>
            </w:pPr>
            <w:r w:rsidRPr="27277103" w:rsidR="27277103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8"/>
                <w:szCs w:val="18"/>
              </w:rPr>
              <w:t>Suzano S.A. (B3: SUZB3 · NYSE: SUZ)</w:t>
            </w:r>
          </w:p>
        </w:tc>
        <w:tc>
          <w:tcPr>
            <w:tcW w:w="4320" w:type="dxa"/>
            <w:tcBorders>
              <w:top w:val="nil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27277103" w:rsidP="27277103" w:rsidRDefault="27277103" w14:paraId="222D0444" w14:textId="1D64A3ED">
            <w:pPr>
              <w:bidi w:val="0"/>
              <w:spacing w:after="20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7F7F7F" w:themeColor="text1" w:themeTint="80" w:themeShade="FF"/>
                <w:sz w:val="14"/>
                <w:szCs w:val="14"/>
              </w:rPr>
            </w:pPr>
            <w:r w:rsidRPr="27277103" w:rsidR="27277103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7F7F7F" w:themeColor="text1" w:themeTint="80" w:themeShade="FF"/>
                <w:sz w:val="14"/>
                <w:szCs w:val="14"/>
              </w:rPr>
              <w:t>EXERCÍCIO</w:t>
            </w:r>
          </w:p>
          <w:p w:rsidR="27277103" w:rsidP="27277103" w:rsidRDefault="27277103" w14:paraId="76B52301" w14:textId="22F95B20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8"/>
                <w:szCs w:val="18"/>
              </w:rPr>
            </w:pPr>
            <w:r w:rsidRPr="27277103" w:rsidR="27277103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8"/>
                <w:szCs w:val="18"/>
              </w:rPr>
              <w:t>31/12/2025 (comparativo 31/12/2024)</w:t>
            </w:r>
          </w:p>
        </w:tc>
      </w:tr>
      <w:tr w:rsidR="27277103" w:rsidTr="27277103" w14:paraId="5E2EDD49">
        <w:trPr>
          <w:trHeight w:val="300"/>
        </w:trPr>
        <w:tc>
          <w:tcPr>
            <w:tcW w:w="5295" w:type="dxa"/>
            <w:gridSpan w:val="2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27277103" w:rsidP="27277103" w:rsidRDefault="27277103" w14:paraId="161EF400" w14:textId="52CE7F0D">
            <w:pPr>
              <w:bidi w:val="0"/>
              <w:spacing w:after="20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7F7F7F" w:themeColor="text1" w:themeTint="80" w:themeShade="FF"/>
                <w:sz w:val="14"/>
                <w:szCs w:val="14"/>
              </w:rPr>
            </w:pPr>
            <w:r w:rsidRPr="27277103" w:rsidR="27277103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7F7F7F" w:themeColor="text1" w:themeTint="80" w:themeShade="FF"/>
                <w:sz w:val="14"/>
                <w:szCs w:val="14"/>
              </w:rPr>
              <w:t>NORMA</w:t>
            </w:r>
          </w:p>
          <w:p w:rsidR="27277103" w:rsidP="27277103" w:rsidRDefault="27277103" w14:paraId="3918965D" w14:textId="2F300408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8"/>
                <w:szCs w:val="18"/>
              </w:rPr>
            </w:pPr>
            <w:r w:rsidRPr="27277103" w:rsidR="27277103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8"/>
                <w:szCs w:val="18"/>
              </w:rPr>
              <w:t>NBC TA 300 (R1) – Planejamento da auditoria de demonstrações contábeis</w:t>
            </w:r>
          </w:p>
        </w:tc>
        <w:tc>
          <w:tcPr>
            <w:tcW w:w="432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27277103" w:rsidP="27277103" w:rsidRDefault="27277103" w14:paraId="3A9E4582" w14:textId="6471BCFA">
            <w:pPr>
              <w:bidi w:val="0"/>
              <w:spacing w:after="20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7F7F7F" w:themeColor="text1" w:themeTint="80" w:themeShade="FF"/>
                <w:sz w:val="14"/>
                <w:szCs w:val="14"/>
              </w:rPr>
            </w:pPr>
            <w:r w:rsidRPr="27277103" w:rsidR="27277103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7F7F7F" w:themeColor="text1" w:themeTint="80" w:themeShade="FF"/>
                <w:sz w:val="14"/>
                <w:szCs w:val="14"/>
              </w:rPr>
              <w:t>ITENS UTILIZADOS</w:t>
            </w:r>
          </w:p>
          <w:p w:rsidR="27277103" w:rsidP="27277103" w:rsidRDefault="27277103" w14:paraId="7E4F2F33" w14:textId="3B4B15C0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8"/>
                <w:szCs w:val="18"/>
              </w:rPr>
            </w:pPr>
            <w:r w:rsidRPr="27277103" w:rsidR="27277103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8"/>
                <w:szCs w:val="18"/>
              </w:rPr>
              <w:t>5–13</w:t>
            </w:r>
          </w:p>
        </w:tc>
      </w:tr>
      <w:tr w:rsidR="27277103" w:rsidTr="27277103" w14:paraId="5CEE517D">
        <w:trPr>
          <w:trHeight w:val="300"/>
        </w:trPr>
        <w:tc>
          <w:tcPr>
            <w:tcW w:w="5295" w:type="dxa"/>
            <w:gridSpan w:val="2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27277103" w:rsidP="27277103" w:rsidRDefault="27277103" w14:paraId="16BB295E" w14:textId="233AFC37">
            <w:pPr>
              <w:bidi w:val="0"/>
              <w:spacing w:after="20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7F7F7F" w:themeColor="text1" w:themeTint="80" w:themeShade="FF"/>
                <w:sz w:val="14"/>
                <w:szCs w:val="14"/>
              </w:rPr>
            </w:pPr>
            <w:r w:rsidRPr="27277103" w:rsidR="27277103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7F7F7F" w:themeColor="text1" w:themeTint="80" w:themeShade="FF"/>
                <w:sz w:val="14"/>
                <w:szCs w:val="14"/>
              </w:rPr>
              <w:t>VERSÃO CONSULTADA</w:t>
            </w:r>
          </w:p>
          <w:p w:rsidR="27277103" w:rsidP="27277103" w:rsidRDefault="27277103" w14:paraId="7F2F7457" w14:textId="4AD315D2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8"/>
                <w:szCs w:val="18"/>
              </w:rPr>
            </w:pPr>
            <w:r w:rsidRPr="27277103" w:rsidR="27277103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8"/>
                <w:szCs w:val="18"/>
              </w:rPr>
              <w:t>NBC TA 300 (R1) – CFC, acesso em 20/10/2026</w:t>
            </w:r>
            <w:r w:rsidRPr="27277103" w:rsidR="27277103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8"/>
                <w:szCs w:val="18"/>
              </w:rPr>
              <w:t xml:space="preserve">: </w:t>
            </w:r>
            <w:hyperlink r:id="Rdfb468d63ff04f5c">
              <w:r w:rsidRPr="27277103" w:rsidR="7E62C435">
                <w:rPr>
                  <w:rStyle w:val="Hyperlink"/>
                  <w:rFonts w:ascii="Arial" w:hAnsi="Arial" w:eastAsia="Arial" w:cs="Arial"/>
                  <w:b w:val="0"/>
                  <w:bCs w:val="0"/>
                  <w:i w:val="0"/>
                  <w:iCs w:val="0"/>
                  <w:sz w:val="18"/>
                  <w:szCs w:val="18"/>
                </w:rPr>
                <w:t>NBC TA 300</w:t>
              </w:r>
            </w:hyperlink>
            <w:r w:rsidRPr="27277103" w:rsidR="27277103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8"/>
                <w:szCs w:val="18"/>
              </w:rPr>
              <w:t>)</w:t>
            </w:r>
          </w:p>
        </w:tc>
        <w:tc>
          <w:tcPr>
            <w:tcW w:w="432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27277103" w:rsidP="27277103" w:rsidRDefault="27277103" w14:paraId="60BE723A" w14:textId="5A6D62FD">
            <w:pPr>
              <w:bidi w:val="0"/>
              <w:spacing w:after="20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7F7F7F" w:themeColor="text1" w:themeTint="80" w:themeShade="FF"/>
                <w:sz w:val="14"/>
                <w:szCs w:val="14"/>
              </w:rPr>
            </w:pPr>
            <w:r w:rsidRPr="27277103" w:rsidR="27277103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7F7F7F" w:themeColor="text1" w:themeTint="80" w:themeShade="FF"/>
                <w:sz w:val="14"/>
                <w:szCs w:val="14"/>
              </w:rPr>
              <w:t>STATUS</w:t>
            </w:r>
          </w:p>
          <w:p w:rsidR="4B61825F" w:rsidP="27277103" w:rsidRDefault="4B61825F" w14:paraId="6F11E6D6" w14:textId="41D76819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8"/>
                <w:szCs w:val="18"/>
              </w:rPr>
            </w:pPr>
            <w:r w:rsidRPr="27277103" w:rsidR="4B61825F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8"/>
                <w:szCs w:val="18"/>
              </w:rPr>
              <w:t xml:space="preserve">Planejado por falta de acesso: detalhado, mas não executado por depender de informações internas; </w:t>
            </w:r>
            <w:r w:rsidRPr="27277103" w:rsidR="27277103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8"/>
                <w:szCs w:val="18"/>
              </w:rPr>
              <w:t>cronograma hipotético</w:t>
            </w:r>
          </w:p>
        </w:tc>
      </w:tr>
    </w:tbl>
    <w:p xmlns:wp14="http://schemas.microsoft.com/office/word/2010/wordml" w:rsidP="27277103" wp14:paraId="3BF288B1" wp14:textId="3984E8AF">
      <w:pPr>
        <w:bidi w:val="0"/>
        <w:spacing w:after="10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262626" w:themeColor="text1" w:themeTint="D9" w:themeShade="FF"/>
          <w:sz w:val="19"/>
          <w:szCs w:val="19"/>
        </w:rPr>
      </w:pPr>
    </w:p>
    <w:p xmlns:wp14="http://schemas.microsoft.com/office/word/2010/wordml" w:rsidP="27277103" wp14:paraId="7A1254B9" wp14:textId="2473BE5F">
      <w:pPr>
        <w:bidi w:val="0"/>
        <w:spacing w:after="0" w:line="264" w:lineRule="auto"/>
        <w:jc w:val="both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262626" w:themeColor="text1" w:themeTint="D9" w:themeShade="FF"/>
          <w:sz w:val="17"/>
          <w:szCs w:val="17"/>
        </w:rPr>
      </w:pPr>
      <w:r w:rsidRPr="27277103" w:rsidR="7BA0699E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color w:val="262626" w:themeColor="text1" w:themeTint="D9" w:themeShade="FF"/>
          <w:sz w:val="19"/>
          <w:szCs w:val="19"/>
        </w:rPr>
        <w:t xml:space="preserve">Natureza do PT. </w:t>
      </w:r>
      <w:r w:rsidRPr="27277103" w:rsidR="7BA0699E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262626" w:themeColor="text1" w:themeTint="D9" w:themeShade="FF"/>
          <w:sz w:val="17"/>
          <w:szCs w:val="17"/>
        </w:rPr>
        <w:t>Trabalho acadêmico; não constitui opinião de auditoria. O cronograma é hipotético e coerente com a carta de 10/03/2025 (PT 210) e com o relatório real de 10/02/2026. Sem dados simulados.</w:t>
      </w:r>
    </w:p>
    <w:p xmlns:wp14="http://schemas.microsoft.com/office/word/2010/wordml" w:rsidP="27277103" wp14:paraId="141C66DE" wp14:textId="54F081BD">
      <w:pPr>
        <w:keepNext w:val="1"/>
        <w:pBdr>
          <w:bottom w:val="single" w:color="BFBFBF" w:sz="4" w:space="3"/>
        </w:pBdr>
        <w:bidi w:val="0"/>
        <w:spacing w:before="280" w:after="120"/>
        <w:jc w:val="both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1F3864"/>
          <w:sz w:val="20"/>
          <w:szCs w:val="20"/>
        </w:rPr>
      </w:pPr>
      <w:r w:rsidRPr="27277103" w:rsidR="7BA0699E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color w:val="7F7F7F" w:themeColor="text1" w:themeTint="80" w:themeShade="FF"/>
          <w:sz w:val="20"/>
          <w:szCs w:val="20"/>
        </w:rPr>
        <w:t xml:space="preserve">1   </w:t>
      </w:r>
      <w:r w:rsidRPr="27277103" w:rsidR="7BA0699E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color w:val="1F3864"/>
          <w:sz w:val="20"/>
          <w:szCs w:val="20"/>
        </w:rPr>
        <w:t>OBJETIVO E OBJETO</w:t>
      </w:r>
    </w:p>
    <w:p xmlns:wp14="http://schemas.microsoft.com/office/word/2010/wordml" w:rsidP="27277103" wp14:paraId="44CA6605" wp14:textId="28007924">
      <w:pPr>
        <w:bidi w:val="0"/>
        <w:spacing w:after="100" w:line="276" w:lineRule="auto"/>
        <w:jc w:val="both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262626" w:themeColor="text1" w:themeTint="D9" w:themeShade="FF"/>
          <w:sz w:val="19"/>
          <w:szCs w:val="19"/>
        </w:rPr>
      </w:pPr>
      <w:r w:rsidRPr="27277103" w:rsidR="7BA0699E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262626" w:themeColor="text1" w:themeTint="D9" w:themeShade="FF"/>
          <w:sz w:val="19"/>
          <w:szCs w:val="19"/>
        </w:rPr>
        <w:t>Definir a estratégia global (alcance, época e direção – item 7), o plano de auditoria (item 9), o cronograma e os programas por ciclo, justificando prioridades e alterações (item 10), para a auditoria das demonstrações individuais e consolidadas da Suzano de 2025.</w:t>
      </w:r>
    </w:p>
    <w:p xmlns:wp14="http://schemas.microsoft.com/office/word/2010/wordml" w:rsidP="27277103" wp14:paraId="4FC0D032" wp14:textId="5431CB12">
      <w:pPr>
        <w:keepNext w:val="1"/>
        <w:pBdr>
          <w:bottom w:val="single" w:color="BFBFBF" w:sz="4" w:space="3"/>
        </w:pBdr>
        <w:bidi w:val="0"/>
        <w:spacing w:before="280" w:after="12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1F3864"/>
          <w:sz w:val="20"/>
          <w:szCs w:val="20"/>
        </w:rPr>
      </w:pPr>
      <w:r w:rsidRPr="27277103" w:rsidR="7BA0699E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color w:val="7F7F7F" w:themeColor="text1" w:themeTint="80" w:themeShade="FF"/>
          <w:sz w:val="20"/>
          <w:szCs w:val="20"/>
        </w:rPr>
        <w:t xml:space="preserve">2   </w:t>
      </w:r>
      <w:r w:rsidRPr="27277103" w:rsidR="7BA0699E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color w:val="1F3864"/>
          <w:sz w:val="20"/>
          <w:szCs w:val="20"/>
        </w:rPr>
        <w:t>AFIRMAÇÕES E RISCOS</w:t>
      </w:r>
    </w:p>
    <w:p xmlns:wp14="http://schemas.microsoft.com/office/word/2010/wordml" w:rsidP="27277103" wp14:paraId="6A810DDB" wp14:textId="672F2FCC">
      <w:pPr>
        <w:bidi w:val="0"/>
        <w:spacing w:after="100" w:line="276" w:lineRule="auto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262626" w:themeColor="text1" w:themeTint="D9" w:themeShade="FF"/>
          <w:sz w:val="19"/>
          <w:szCs w:val="19"/>
        </w:rPr>
      </w:pPr>
      <w:r w:rsidRPr="27277103" w:rsidR="7BA0699E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262626" w:themeColor="text1" w:themeTint="D9" w:themeShade="FF"/>
          <w:sz w:val="19"/>
          <w:szCs w:val="19"/>
        </w:rPr>
        <w:t>O planejamento cobre todas as afirmações e responde aos riscos do PT 315: quatro riscos significativos (receita, ativos biológicos, contingências e burla de controles) e risco moderado nas demais contas relevantes. Fontes: PTs 210, 220, 315 e 320; DFP 2025 (F1); norma (F2).</w:t>
      </w:r>
    </w:p>
    <w:tbl>
      <w:tblPr>
        <w:tblStyle w:val="TableNormal"/>
        <w:bidiVisual w:val="0"/>
        <w:tblW w:w="0" w:type="auto"/>
        <w:tblBorders>
          <w:top w:val="single" w:sz="6"/>
          <w:left w:val="single" w:sz="6"/>
          <w:bottom w:val="single" w:sz="6"/>
          <w:right w:val="single" w:sz="6"/>
        </w:tblBorders>
        <w:tblLook w:val="06A0" w:firstRow="1" w:lastRow="0" w:firstColumn="1" w:lastColumn="0" w:noHBand="1" w:noVBand="1"/>
      </w:tblPr>
      <w:tblGrid>
        <w:gridCol w:w="540"/>
        <w:gridCol w:w="5895"/>
        <w:gridCol w:w="1245"/>
        <w:gridCol w:w="1935"/>
      </w:tblGrid>
      <w:tr w:rsidR="27277103" w:rsidTr="27277103" w14:paraId="75602BF5">
        <w:trPr>
          <w:trHeight w:val="300"/>
        </w:trPr>
        <w:tc>
          <w:tcPr>
            <w:tcW w:w="540" w:type="dxa"/>
            <w:tcBorders>
              <w:top w:val="single" w:color="262626" w:themeColor="text1" w:themeTint="D9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27277103" w:rsidP="27277103" w:rsidRDefault="27277103" w14:paraId="3FC8C9E0" w14:textId="620E7042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7F7F7F" w:themeColor="text1" w:themeTint="80" w:themeShade="FF"/>
                <w:sz w:val="16"/>
                <w:szCs w:val="16"/>
              </w:rPr>
            </w:pPr>
            <w:r w:rsidRPr="27277103" w:rsidR="27277103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7F7F7F" w:themeColor="text1" w:themeTint="80" w:themeShade="FF"/>
                <w:sz w:val="16"/>
                <w:szCs w:val="16"/>
              </w:rPr>
              <w:t>Ref.</w:t>
            </w:r>
          </w:p>
        </w:tc>
        <w:tc>
          <w:tcPr>
            <w:tcW w:w="5895" w:type="dxa"/>
            <w:tcBorders>
              <w:top w:val="single" w:color="262626" w:themeColor="text1" w:themeTint="D9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27277103" w:rsidP="27277103" w:rsidRDefault="27277103" w14:paraId="29049323" w14:textId="63467274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7F7F7F" w:themeColor="text1" w:themeTint="80" w:themeShade="FF"/>
                <w:sz w:val="16"/>
                <w:szCs w:val="16"/>
              </w:rPr>
            </w:pPr>
            <w:r w:rsidRPr="27277103" w:rsidR="27277103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7F7F7F" w:themeColor="text1" w:themeTint="80" w:themeShade="FF"/>
                <w:sz w:val="16"/>
                <w:szCs w:val="16"/>
              </w:rPr>
              <w:t>Documento e endereço</w:t>
            </w:r>
          </w:p>
        </w:tc>
        <w:tc>
          <w:tcPr>
            <w:tcW w:w="1245" w:type="dxa"/>
            <w:tcBorders>
              <w:top w:val="single" w:color="262626" w:themeColor="text1" w:themeTint="D9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27277103" w:rsidP="27277103" w:rsidRDefault="27277103" w14:paraId="7DF62D5D" w14:textId="6B93F266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7F7F7F" w:themeColor="text1" w:themeTint="80" w:themeShade="FF"/>
                <w:sz w:val="16"/>
                <w:szCs w:val="16"/>
              </w:rPr>
            </w:pPr>
            <w:r w:rsidRPr="27277103" w:rsidR="27277103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7F7F7F" w:themeColor="text1" w:themeTint="80" w:themeShade="FF"/>
                <w:sz w:val="16"/>
                <w:szCs w:val="16"/>
              </w:rPr>
              <w:t>Acesso</w:t>
            </w:r>
          </w:p>
        </w:tc>
        <w:tc>
          <w:tcPr>
            <w:tcW w:w="1935" w:type="dxa"/>
            <w:tcBorders>
              <w:top w:val="single" w:color="262626" w:themeColor="text1" w:themeTint="D9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27277103" w:rsidP="27277103" w:rsidRDefault="27277103" w14:paraId="3C1EC30B" w14:textId="47D4089D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7F7F7F" w:themeColor="text1" w:themeTint="80" w:themeShade="FF"/>
                <w:sz w:val="16"/>
                <w:szCs w:val="16"/>
              </w:rPr>
            </w:pPr>
            <w:r w:rsidRPr="27277103" w:rsidR="27277103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7F7F7F" w:themeColor="text1" w:themeTint="80" w:themeShade="FF"/>
                <w:sz w:val="16"/>
                <w:szCs w:val="16"/>
              </w:rPr>
              <w:t>Páginas</w:t>
            </w:r>
          </w:p>
        </w:tc>
      </w:tr>
      <w:tr w:rsidR="27277103" w:rsidTr="27277103" w14:paraId="1491CB47">
        <w:trPr>
          <w:trHeight w:val="300"/>
        </w:trPr>
        <w:tc>
          <w:tcPr>
            <w:tcW w:w="540" w:type="dxa"/>
            <w:tcBorders>
              <w:top w:val="single" w:color="262626" w:themeColor="text1" w:themeTint="D9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27277103" w:rsidP="27277103" w:rsidRDefault="27277103" w14:paraId="646FBF65" w14:textId="45822983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27277103" w:rsidR="27277103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F1</w:t>
            </w:r>
          </w:p>
        </w:tc>
        <w:tc>
          <w:tcPr>
            <w:tcW w:w="5895" w:type="dxa"/>
            <w:tcBorders>
              <w:top w:val="single" w:color="262626" w:themeColor="text1" w:themeTint="D9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27277103" w:rsidP="27277103" w:rsidRDefault="27277103" w14:paraId="4F202D22" w14:textId="755F35AA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27277103" w:rsidR="27277103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DFP 31/12/2025, versão 1 – CVM/RAD</w:t>
            </w:r>
            <w:r w:rsidRPr="27277103" w:rsidR="27277103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8"/>
                <w:szCs w:val="18"/>
              </w:rPr>
              <w:t xml:space="preserve">: </w:t>
            </w:r>
            <w:hyperlink r:id="Ra1e4c88b4aa44c5d">
              <w:r w:rsidRPr="27277103" w:rsidR="063A4E05">
                <w:rPr>
                  <w:rStyle w:val="Hyperlink"/>
                  <w:rFonts w:ascii="Arial" w:hAnsi="Arial" w:eastAsia="Arial" w:cs="Arial"/>
                  <w:b w:val="0"/>
                  <w:bCs w:val="0"/>
                  <w:i w:val="0"/>
                  <w:iCs w:val="0"/>
                  <w:sz w:val="18"/>
                  <w:szCs w:val="18"/>
                </w:rPr>
                <w:t>DFP</w:t>
              </w:r>
            </w:hyperlink>
          </w:p>
        </w:tc>
        <w:tc>
          <w:tcPr>
            <w:tcW w:w="1245" w:type="dxa"/>
            <w:tcBorders>
              <w:top w:val="single" w:color="262626" w:themeColor="text1" w:themeTint="D9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13C45174" w:rsidP="27277103" w:rsidRDefault="13C45174" w14:paraId="51AE450D" w14:textId="0C875694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27277103" w:rsidR="13C45174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20/10/2026</w:t>
            </w:r>
          </w:p>
        </w:tc>
        <w:tc>
          <w:tcPr>
            <w:tcW w:w="1935" w:type="dxa"/>
            <w:tcBorders>
              <w:top w:val="single" w:color="262626" w:themeColor="text1" w:themeTint="D9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27277103" w:rsidP="27277103" w:rsidRDefault="27277103" w14:paraId="1FC171BA" w14:textId="085FDDDD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27277103" w:rsidR="27277103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p. 99, 100, 197–204</w:t>
            </w:r>
          </w:p>
        </w:tc>
      </w:tr>
      <w:tr w:rsidR="27277103" w:rsidTr="27277103" w14:paraId="22D92929">
        <w:trPr>
          <w:trHeight w:val="300"/>
        </w:trPr>
        <w:tc>
          <w:tcPr>
            <w:tcW w:w="540" w:type="dxa"/>
            <w:tcBorders>
              <w:top w:val="single" w:color="BFBFBF" w:themeColor="background1" w:themeShade="BF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27277103" w:rsidP="27277103" w:rsidRDefault="27277103" w14:paraId="0D9342D6" w14:textId="329E4EF7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27277103" w:rsidR="27277103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F2</w:t>
            </w:r>
          </w:p>
        </w:tc>
        <w:tc>
          <w:tcPr>
            <w:tcW w:w="5895" w:type="dxa"/>
            <w:tcBorders>
              <w:top w:val="single" w:color="BFBFBF" w:themeColor="background1" w:themeShade="BF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27277103" w:rsidP="27277103" w:rsidRDefault="27277103" w14:paraId="46E9C1D6" w14:textId="4708F187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27277103" w:rsidR="27277103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NBC TA 300 (R1) – CFC</w:t>
            </w:r>
            <w:r w:rsidRPr="27277103" w:rsidR="27277103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8"/>
                <w:szCs w:val="18"/>
              </w:rPr>
              <w:t xml:space="preserve">: </w:t>
            </w:r>
            <w:hyperlink r:id="R36037d70483d4279">
              <w:r w:rsidRPr="27277103" w:rsidR="3615BED1">
                <w:rPr>
                  <w:rStyle w:val="Hyperlink"/>
                  <w:rFonts w:ascii="Arial" w:hAnsi="Arial" w:eastAsia="Arial" w:cs="Arial"/>
                  <w:b w:val="0"/>
                  <w:bCs w:val="0"/>
                  <w:i w:val="0"/>
                  <w:iCs w:val="0"/>
                  <w:sz w:val="18"/>
                  <w:szCs w:val="18"/>
                </w:rPr>
                <w:t>NBC TA 300</w:t>
              </w:r>
            </w:hyperlink>
            <w:r w:rsidRPr="27277103" w:rsidR="27277103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8"/>
                <w:szCs w:val="18"/>
              </w:rPr>
              <w:t>)</w:t>
            </w:r>
          </w:p>
        </w:tc>
        <w:tc>
          <w:tcPr>
            <w:tcW w:w="1245" w:type="dxa"/>
            <w:tcBorders>
              <w:top w:val="single" w:color="BFBFBF" w:themeColor="background1" w:themeShade="BF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27277103" w:rsidP="27277103" w:rsidRDefault="27277103" w14:paraId="6D90923A" w14:textId="0470246A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27277103" w:rsidR="27277103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20/10/2026</w:t>
            </w:r>
          </w:p>
        </w:tc>
        <w:tc>
          <w:tcPr>
            <w:tcW w:w="1935" w:type="dxa"/>
            <w:tcBorders>
              <w:top w:val="single" w:color="BFBFBF" w:themeColor="background1" w:themeShade="BF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27277103" w:rsidP="27277103" w:rsidRDefault="27277103" w14:paraId="77284AB1" w14:textId="695BA0F6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27277103" w:rsidR="27277103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Itens 5–13</w:t>
            </w:r>
          </w:p>
        </w:tc>
      </w:tr>
    </w:tbl>
    <w:p xmlns:wp14="http://schemas.microsoft.com/office/word/2010/wordml" w:rsidP="27277103" wp14:paraId="4B36659F" wp14:textId="3679F57A">
      <w:pPr>
        <w:keepNext w:val="1"/>
        <w:pBdr>
          <w:bottom w:val="single" w:color="BFBFBF" w:sz="4" w:space="3"/>
        </w:pBdr>
        <w:bidi w:val="0"/>
        <w:spacing w:before="280" w:after="12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1F3864"/>
          <w:sz w:val="20"/>
          <w:szCs w:val="20"/>
        </w:rPr>
      </w:pPr>
      <w:r w:rsidRPr="27277103" w:rsidR="7BA0699E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color w:val="7F7F7F" w:themeColor="text1" w:themeTint="80" w:themeShade="FF"/>
          <w:sz w:val="20"/>
          <w:szCs w:val="20"/>
        </w:rPr>
        <w:t xml:space="preserve">3   </w:t>
      </w:r>
      <w:r w:rsidRPr="27277103" w:rsidR="7BA0699E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color w:val="1F3864"/>
          <w:sz w:val="20"/>
          <w:szCs w:val="20"/>
        </w:rPr>
        <w:t>ESTRATÉGIA GLOBAL (ITENS 7–8)</w:t>
      </w:r>
    </w:p>
    <w:tbl>
      <w:tblPr>
        <w:tblStyle w:val="TableNormal"/>
        <w:bidiVisual w:val="0"/>
        <w:tblW w:w="0" w:type="auto"/>
        <w:tblBorders>
          <w:top w:val="single" w:sz="6"/>
          <w:left w:val="single" w:sz="6"/>
          <w:bottom w:val="single" w:sz="6"/>
          <w:right w:val="single" w:sz="6"/>
        </w:tblBorders>
        <w:tblLook w:val="06A0" w:firstRow="1" w:lastRow="0" w:firstColumn="1" w:lastColumn="0" w:noHBand="1" w:noVBand="1"/>
      </w:tblPr>
      <w:tblGrid>
        <w:gridCol w:w="2295"/>
        <w:gridCol w:w="7335"/>
      </w:tblGrid>
      <w:tr w:rsidR="27277103" w:rsidTr="27277103" w14:paraId="62B3B9A7">
        <w:trPr>
          <w:trHeight w:val="300"/>
        </w:trPr>
        <w:tc>
          <w:tcPr>
            <w:tcW w:w="2295" w:type="dxa"/>
            <w:tcBorders>
              <w:top w:val="single" w:color="262626" w:themeColor="text1" w:themeTint="D9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27277103" w:rsidP="27277103" w:rsidRDefault="27277103" w14:paraId="6A9545D8" w14:textId="04059A10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7F7F7F" w:themeColor="text1" w:themeTint="80" w:themeShade="FF"/>
                <w:sz w:val="16"/>
                <w:szCs w:val="16"/>
              </w:rPr>
            </w:pPr>
            <w:r w:rsidRPr="27277103" w:rsidR="27277103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7F7F7F" w:themeColor="text1" w:themeTint="80" w:themeShade="FF"/>
                <w:sz w:val="16"/>
                <w:szCs w:val="16"/>
              </w:rPr>
              <w:t>Elemento</w:t>
            </w:r>
          </w:p>
        </w:tc>
        <w:tc>
          <w:tcPr>
            <w:tcW w:w="7335" w:type="dxa"/>
            <w:tcBorders>
              <w:top w:val="single" w:color="262626" w:themeColor="text1" w:themeTint="D9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27277103" w:rsidP="27277103" w:rsidRDefault="27277103" w14:paraId="57670C75" w14:textId="063FA9DF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7F7F7F" w:themeColor="text1" w:themeTint="80" w:themeShade="FF"/>
                <w:sz w:val="16"/>
                <w:szCs w:val="16"/>
              </w:rPr>
            </w:pPr>
            <w:r w:rsidRPr="27277103" w:rsidR="27277103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7F7F7F" w:themeColor="text1" w:themeTint="80" w:themeShade="FF"/>
                <w:sz w:val="16"/>
                <w:szCs w:val="16"/>
              </w:rPr>
              <w:t>Definição para a Suzano</w:t>
            </w:r>
          </w:p>
        </w:tc>
      </w:tr>
      <w:tr w:rsidR="27277103" w:rsidTr="27277103" w14:paraId="7310E5FA">
        <w:trPr>
          <w:trHeight w:val="300"/>
        </w:trPr>
        <w:tc>
          <w:tcPr>
            <w:tcW w:w="2295" w:type="dxa"/>
            <w:tcBorders>
              <w:top w:val="single" w:color="262626" w:themeColor="text1" w:themeTint="D9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27277103" w:rsidP="27277103" w:rsidRDefault="27277103" w14:paraId="5B5E2818" w14:textId="68FBFF8F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27277103" w:rsidR="27277103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Alcance</w:t>
            </w:r>
          </w:p>
        </w:tc>
        <w:tc>
          <w:tcPr>
            <w:tcW w:w="7335" w:type="dxa"/>
            <w:tcBorders>
              <w:top w:val="single" w:color="262626" w:themeColor="text1" w:themeTint="D9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27277103" w:rsidP="27277103" w:rsidRDefault="27277103" w14:paraId="3F1C2F36" w14:textId="1290656D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27277103" w:rsidR="27277103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Demonstrações individuais e consolidadas, com DVA e leitura do Relatório da Administração; estrutura: práticas contábeis adotadas no Brasil e IFRS; controladas em mais de 10 países (PT 600)</w:t>
            </w:r>
          </w:p>
        </w:tc>
      </w:tr>
      <w:tr w:rsidR="27277103" w:rsidTr="27277103" w14:paraId="5C82F1C1">
        <w:trPr>
          <w:trHeight w:val="300"/>
        </w:trPr>
        <w:tc>
          <w:tcPr>
            <w:tcW w:w="229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27277103" w:rsidP="27277103" w:rsidRDefault="27277103" w14:paraId="571B2623" w14:textId="6787BCFF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27277103" w:rsidR="27277103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Abordagem</w:t>
            </w:r>
          </w:p>
        </w:tc>
        <w:tc>
          <w:tcPr>
            <w:tcW w:w="733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27277103" w:rsidP="27277103" w:rsidRDefault="27277103" w14:paraId="7CEAFB56" w14:textId="06907BB6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27277103" w:rsidR="27277103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Essencialmente substantiva: controles não testáveis com fontes públicas, risco de controle máximo (PT 315)</w:t>
            </w:r>
          </w:p>
        </w:tc>
      </w:tr>
      <w:tr w:rsidR="27277103" w:rsidTr="27277103" w14:paraId="671A8CA2">
        <w:trPr>
          <w:trHeight w:val="300"/>
        </w:trPr>
        <w:tc>
          <w:tcPr>
            <w:tcW w:w="229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27277103" w:rsidP="27277103" w:rsidRDefault="27277103" w14:paraId="529F219E" w14:textId="53270EE8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27277103" w:rsidR="27277103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Materialidade</w:t>
            </w:r>
          </w:p>
        </w:tc>
        <w:tc>
          <w:tcPr>
            <w:tcW w:w="733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27277103" w:rsidP="27277103" w:rsidRDefault="27277103" w14:paraId="0A3736CA" w14:textId="09CE734F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27277103" w:rsidR="27277103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Global de R$ 250,6 mi; execução de R$ 125,3 mi; limite trivial de R$ 12,5 mi (PT 320)</w:t>
            </w:r>
          </w:p>
        </w:tc>
      </w:tr>
      <w:tr w:rsidR="27277103" w:rsidTr="27277103" w14:paraId="29FB3EA6">
        <w:trPr>
          <w:trHeight w:val="300"/>
        </w:trPr>
        <w:tc>
          <w:tcPr>
            <w:tcW w:w="229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27277103" w:rsidP="27277103" w:rsidRDefault="27277103" w14:paraId="61CAD02D" w14:textId="1DCA509D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27277103" w:rsidR="27277103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Época</w:t>
            </w:r>
          </w:p>
        </w:tc>
        <w:tc>
          <w:tcPr>
            <w:tcW w:w="733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27277103" w:rsidP="27277103" w:rsidRDefault="27277103" w14:paraId="600ED2C7" w14:textId="41B3A1F0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27277103" w:rsidR="27277103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Trabalhos interinos durante o ano, junto com a revisão das ITRs, e trabalho final em jan–fev/2026</w:t>
            </w:r>
          </w:p>
        </w:tc>
      </w:tr>
      <w:tr w:rsidR="27277103" w:rsidTr="27277103" w14:paraId="55CE6C8F">
        <w:trPr>
          <w:trHeight w:val="300"/>
        </w:trPr>
        <w:tc>
          <w:tcPr>
            <w:tcW w:w="229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27277103" w:rsidP="27277103" w:rsidRDefault="27277103" w14:paraId="65656CD6" w14:textId="01328B31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27277103" w:rsidR="27277103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Direção e recursos</w:t>
            </w:r>
          </w:p>
        </w:tc>
        <w:tc>
          <w:tcPr>
            <w:tcW w:w="733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27277103" w:rsidP="27277103" w:rsidRDefault="27277103" w14:paraId="5F3EE8F4" w14:textId="0C99383A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27277103" w:rsidR="27277103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Equipe com especialistas em ativos biológicos, tributos, derivativos e TI; auditores de componentes; revisor de qualidade (PT 220)</w:t>
            </w:r>
          </w:p>
        </w:tc>
      </w:tr>
      <w:tr w:rsidR="27277103" w:rsidTr="27277103" w14:paraId="78D6582E">
        <w:trPr>
          <w:trHeight w:val="300"/>
        </w:trPr>
        <w:tc>
          <w:tcPr>
            <w:tcW w:w="2295" w:type="dxa"/>
            <w:tcBorders>
              <w:top w:val="single" w:color="BFBFBF" w:themeColor="background1" w:themeShade="BF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27277103" w:rsidP="27277103" w:rsidRDefault="27277103" w14:paraId="03743C36" w14:textId="3EAA3FB8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27277103" w:rsidR="27277103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Auditoria inicial (item 13)</w:t>
            </w:r>
          </w:p>
        </w:tc>
        <w:tc>
          <w:tcPr>
            <w:tcW w:w="7335" w:type="dxa"/>
            <w:tcBorders>
              <w:top w:val="single" w:color="BFBFBF" w:themeColor="background1" w:themeShade="BF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27277103" w:rsidP="27277103" w:rsidRDefault="27277103" w14:paraId="622BCA33" w14:textId="0C47DD63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27277103" w:rsidR="27277103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Comunicação com o auditor antecessor e exame dos saldos iniciais antes do início dos trabalhos (PT 510)</w:t>
            </w:r>
          </w:p>
        </w:tc>
      </w:tr>
    </w:tbl>
    <w:p xmlns:wp14="http://schemas.microsoft.com/office/word/2010/wordml" w:rsidP="27277103" wp14:paraId="470B73E2" wp14:textId="0CB81DD7">
      <w:pPr>
        <w:keepNext w:val="1"/>
        <w:pBdr>
          <w:bottom w:val="single" w:color="BFBFBF" w:sz="4" w:space="3"/>
        </w:pBdr>
        <w:bidi w:val="0"/>
        <w:spacing w:before="280" w:after="12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1F3864"/>
          <w:sz w:val="20"/>
          <w:szCs w:val="20"/>
        </w:rPr>
      </w:pPr>
      <w:r w:rsidRPr="27277103" w:rsidR="7BA0699E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color w:val="7F7F7F" w:themeColor="text1" w:themeTint="80" w:themeShade="FF"/>
          <w:sz w:val="20"/>
          <w:szCs w:val="20"/>
        </w:rPr>
        <w:t xml:space="preserve">4   </w:t>
      </w:r>
      <w:r w:rsidRPr="27277103" w:rsidR="7BA0699E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color w:val="1F3864"/>
          <w:sz w:val="20"/>
          <w:szCs w:val="20"/>
        </w:rPr>
        <w:t>PRIORIDADES</w:t>
      </w:r>
    </w:p>
    <w:p xmlns:wp14="http://schemas.microsoft.com/office/word/2010/wordml" w:rsidP="27277103" wp14:paraId="6E3472D6" wp14:textId="1BA81376">
      <w:pPr>
        <w:bidi w:val="0"/>
        <w:spacing w:after="100" w:line="276" w:lineRule="auto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262626" w:themeColor="text1" w:themeTint="D9" w:themeShade="FF"/>
          <w:sz w:val="19"/>
          <w:szCs w:val="19"/>
        </w:rPr>
      </w:pPr>
      <w:r w:rsidRPr="27277103" w:rsidR="7BA0699E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262626" w:themeColor="text1" w:themeTint="D9" w:themeShade="FF"/>
          <w:sz w:val="19"/>
          <w:szCs w:val="19"/>
        </w:rPr>
        <w:t>As áreas foram ordenadas pela combinação de risco (PT 315) e tamanho do saldo em relação à materialidade:</w:t>
      </w:r>
    </w:p>
    <w:tbl>
      <w:tblPr>
        <w:tblStyle w:val="TableNormal"/>
        <w:bidiVisual w:val="0"/>
        <w:tblW w:w="0" w:type="auto"/>
        <w:tblBorders>
          <w:top w:val="single" w:sz="6"/>
          <w:left w:val="single" w:sz="6"/>
          <w:bottom w:val="single" w:sz="6"/>
          <w:right w:val="single" w:sz="6"/>
        </w:tblBorders>
        <w:tblLook w:val="06A0" w:firstRow="1" w:lastRow="0" w:firstColumn="1" w:lastColumn="0" w:noHBand="1" w:noVBand="1"/>
      </w:tblPr>
      <w:tblGrid>
        <w:gridCol w:w="1185"/>
        <w:gridCol w:w="2595"/>
        <w:gridCol w:w="5835"/>
      </w:tblGrid>
      <w:tr w:rsidR="27277103" w:rsidTr="27277103" w14:paraId="366FD37E">
        <w:trPr>
          <w:trHeight w:val="300"/>
        </w:trPr>
        <w:tc>
          <w:tcPr>
            <w:tcW w:w="1185" w:type="dxa"/>
            <w:tcBorders>
              <w:top w:val="single" w:color="262626" w:themeColor="text1" w:themeTint="D9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27277103" w:rsidP="27277103" w:rsidRDefault="27277103" w14:paraId="23B64659" w14:textId="62D8A078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7F7F7F" w:themeColor="text1" w:themeTint="80" w:themeShade="FF"/>
                <w:sz w:val="16"/>
                <w:szCs w:val="16"/>
              </w:rPr>
            </w:pPr>
            <w:r w:rsidRPr="27277103" w:rsidR="27277103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7F7F7F" w:themeColor="text1" w:themeTint="80" w:themeShade="FF"/>
                <w:sz w:val="16"/>
                <w:szCs w:val="16"/>
              </w:rPr>
              <w:t>Prioridade</w:t>
            </w:r>
          </w:p>
        </w:tc>
        <w:tc>
          <w:tcPr>
            <w:tcW w:w="2595" w:type="dxa"/>
            <w:tcBorders>
              <w:top w:val="single" w:color="262626" w:themeColor="text1" w:themeTint="D9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27277103" w:rsidP="27277103" w:rsidRDefault="27277103" w14:paraId="25542588" w14:textId="0C49B86F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7F7F7F" w:themeColor="text1" w:themeTint="80" w:themeShade="FF"/>
                <w:sz w:val="16"/>
                <w:szCs w:val="16"/>
              </w:rPr>
            </w:pPr>
            <w:r w:rsidRPr="27277103" w:rsidR="27277103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7F7F7F" w:themeColor="text1" w:themeTint="80" w:themeShade="FF"/>
                <w:sz w:val="16"/>
                <w:szCs w:val="16"/>
              </w:rPr>
              <w:t>Área</w:t>
            </w:r>
          </w:p>
        </w:tc>
        <w:tc>
          <w:tcPr>
            <w:tcW w:w="5835" w:type="dxa"/>
            <w:tcBorders>
              <w:top w:val="single" w:color="262626" w:themeColor="text1" w:themeTint="D9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27277103" w:rsidP="27277103" w:rsidRDefault="27277103" w14:paraId="616A0451" w14:textId="56C0AEE3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7F7F7F" w:themeColor="text1" w:themeTint="80" w:themeShade="FF"/>
                <w:sz w:val="16"/>
                <w:szCs w:val="16"/>
              </w:rPr>
            </w:pPr>
            <w:r w:rsidRPr="27277103" w:rsidR="27277103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7F7F7F" w:themeColor="text1" w:themeTint="80" w:themeShade="FF"/>
                <w:sz w:val="16"/>
                <w:szCs w:val="16"/>
              </w:rPr>
              <w:t>Justificativa</w:t>
            </w:r>
          </w:p>
        </w:tc>
      </w:tr>
      <w:tr w:rsidR="27277103" w:rsidTr="27277103" w14:paraId="61D20103">
        <w:trPr>
          <w:trHeight w:val="300"/>
        </w:trPr>
        <w:tc>
          <w:tcPr>
            <w:tcW w:w="1185" w:type="dxa"/>
            <w:tcBorders>
              <w:top w:val="single" w:color="262626" w:themeColor="text1" w:themeTint="D9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27277103" w:rsidP="27277103" w:rsidRDefault="27277103" w14:paraId="3E01A754" w14:textId="32788F06">
            <w:pPr>
              <w:bidi w:val="0"/>
              <w:spacing w:after="0" w:line="252" w:lineRule="auto"/>
              <w:jc w:val="center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27277103" w:rsidR="27277103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1</w:t>
            </w:r>
          </w:p>
        </w:tc>
        <w:tc>
          <w:tcPr>
            <w:tcW w:w="2595" w:type="dxa"/>
            <w:tcBorders>
              <w:top w:val="single" w:color="262626" w:themeColor="text1" w:themeTint="D9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27277103" w:rsidP="27277103" w:rsidRDefault="27277103" w14:paraId="2600269E" w14:textId="1639C484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27277103" w:rsidR="27277103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Receita</w:t>
            </w:r>
          </w:p>
        </w:tc>
        <w:tc>
          <w:tcPr>
            <w:tcW w:w="5835" w:type="dxa"/>
            <w:tcBorders>
              <w:top w:val="single" w:color="262626" w:themeColor="text1" w:themeTint="D9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27277103" w:rsidP="27277103" w:rsidRDefault="27277103" w14:paraId="39C29396" w14:textId="20EF1581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27277103" w:rsidR="27277103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Risco significativo de fraude presumido; maior linha do resultado (200 vezes a materialidade)</w:t>
            </w:r>
          </w:p>
        </w:tc>
      </w:tr>
      <w:tr w:rsidR="27277103" w:rsidTr="27277103" w14:paraId="685E2F05">
        <w:trPr>
          <w:trHeight w:val="300"/>
        </w:trPr>
        <w:tc>
          <w:tcPr>
            <w:tcW w:w="118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27277103" w:rsidP="27277103" w:rsidRDefault="27277103" w14:paraId="2AE7A795" w14:textId="0C0B9BF8">
            <w:pPr>
              <w:bidi w:val="0"/>
              <w:spacing w:after="0" w:line="252" w:lineRule="auto"/>
              <w:jc w:val="center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27277103" w:rsidR="27277103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2</w:t>
            </w:r>
          </w:p>
        </w:tc>
        <w:tc>
          <w:tcPr>
            <w:tcW w:w="259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27277103" w:rsidP="27277103" w:rsidRDefault="27277103" w14:paraId="6E0AB6D5" w14:textId="3ED7AEB6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27277103" w:rsidR="27277103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Ativos biológicos</w:t>
            </w:r>
          </w:p>
        </w:tc>
        <w:tc>
          <w:tcPr>
            <w:tcW w:w="583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27277103" w:rsidP="27277103" w:rsidRDefault="27277103" w14:paraId="5586B3F6" w14:textId="17F53AD2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27277103" w:rsidR="27277103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Risco significativo e PAA: valor justo de R$ 26,1 bi com premissas subjetivas</w:t>
            </w:r>
          </w:p>
        </w:tc>
      </w:tr>
      <w:tr w:rsidR="27277103" w:rsidTr="27277103" w14:paraId="0476C5ED">
        <w:trPr>
          <w:trHeight w:val="300"/>
        </w:trPr>
        <w:tc>
          <w:tcPr>
            <w:tcW w:w="118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27277103" w:rsidP="27277103" w:rsidRDefault="27277103" w14:paraId="51B769CB" w14:textId="225D5390">
            <w:pPr>
              <w:bidi w:val="0"/>
              <w:spacing w:after="0" w:line="252" w:lineRule="auto"/>
              <w:jc w:val="center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27277103" w:rsidR="27277103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3</w:t>
            </w:r>
          </w:p>
        </w:tc>
        <w:tc>
          <w:tcPr>
            <w:tcW w:w="259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27277103" w:rsidP="27277103" w:rsidRDefault="27277103" w14:paraId="38CA17D7" w14:textId="605CE0B1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27277103" w:rsidR="27277103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Provisões</w:t>
            </w:r>
            <w:r w:rsidRPr="27277103" w:rsidR="27277103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 xml:space="preserve"> e contingências</w:t>
            </w:r>
          </w:p>
        </w:tc>
        <w:tc>
          <w:tcPr>
            <w:tcW w:w="583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27277103" w:rsidP="27277103" w:rsidRDefault="27277103" w14:paraId="64087F51" w14:textId="3227804A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27277103" w:rsidR="27277103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Risco significativo e PAA: R$ 10,4 bi em perdas possíveis</w:t>
            </w:r>
          </w:p>
        </w:tc>
      </w:tr>
      <w:tr w:rsidR="27277103" w:rsidTr="27277103" w14:paraId="228A3A5D">
        <w:trPr>
          <w:trHeight w:val="300"/>
        </w:trPr>
        <w:tc>
          <w:tcPr>
            <w:tcW w:w="118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27277103" w:rsidP="27277103" w:rsidRDefault="27277103" w14:paraId="3E02C1F2" w14:textId="7182C91A">
            <w:pPr>
              <w:bidi w:val="0"/>
              <w:spacing w:after="0" w:line="252" w:lineRule="auto"/>
              <w:jc w:val="center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27277103" w:rsidR="27277103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4</w:t>
            </w:r>
          </w:p>
        </w:tc>
        <w:tc>
          <w:tcPr>
            <w:tcW w:w="259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27277103" w:rsidP="27277103" w:rsidRDefault="27277103" w14:paraId="4BB483AC" w14:textId="2C9B5D11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27277103" w:rsidR="27277103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Lançamentos contábeis</w:t>
            </w:r>
          </w:p>
        </w:tc>
        <w:tc>
          <w:tcPr>
            <w:tcW w:w="583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27277103" w:rsidP="27277103" w:rsidRDefault="27277103" w14:paraId="04FB642B" w14:textId="7A0DC9C5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27277103" w:rsidR="27277103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Burla de controles: risco significativo em toda auditoria</w:t>
            </w:r>
          </w:p>
        </w:tc>
      </w:tr>
      <w:tr w:rsidR="27277103" w:rsidTr="27277103" w14:paraId="247DA59E">
        <w:trPr>
          <w:trHeight w:val="300"/>
        </w:trPr>
        <w:tc>
          <w:tcPr>
            <w:tcW w:w="118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27277103" w:rsidP="27277103" w:rsidRDefault="27277103" w14:paraId="4286857F" w14:textId="31A1E251">
            <w:pPr>
              <w:bidi w:val="0"/>
              <w:spacing w:after="0" w:line="252" w:lineRule="auto"/>
              <w:jc w:val="center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27277103" w:rsidR="27277103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5</w:t>
            </w:r>
          </w:p>
        </w:tc>
        <w:tc>
          <w:tcPr>
            <w:tcW w:w="259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27277103" w:rsidP="27277103" w:rsidRDefault="27277103" w14:paraId="4E7540C3" w14:textId="323A3466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27277103" w:rsidR="27277103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Imobilizado</w:t>
            </w:r>
          </w:p>
        </w:tc>
        <w:tc>
          <w:tcPr>
            <w:tcW w:w="583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27277103" w:rsidP="27277103" w:rsidRDefault="27277103" w14:paraId="2B56A350" w14:textId="6A0E005F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27277103" w:rsidR="27277103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Maior conta do ativo (R$ 64,3 bi; 257 vezes a materialidade); base simulada</w:t>
            </w:r>
          </w:p>
        </w:tc>
      </w:tr>
      <w:tr w:rsidR="27277103" w:rsidTr="27277103" w14:paraId="54846DC3">
        <w:trPr>
          <w:trHeight w:val="300"/>
        </w:trPr>
        <w:tc>
          <w:tcPr>
            <w:tcW w:w="118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27277103" w:rsidP="27277103" w:rsidRDefault="27277103" w14:paraId="09EAE806" w14:textId="4B217DDF">
            <w:pPr>
              <w:bidi w:val="0"/>
              <w:spacing w:after="0" w:line="252" w:lineRule="auto"/>
              <w:jc w:val="center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27277103" w:rsidR="27277103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6</w:t>
            </w:r>
          </w:p>
        </w:tc>
        <w:tc>
          <w:tcPr>
            <w:tcW w:w="259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27277103" w:rsidP="27277103" w:rsidRDefault="27277103" w14:paraId="1124C282" w14:textId="56025112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27277103" w:rsidR="27277103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Empréstimos e derivativos</w:t>
            </w:r>
          </w:p>
        </w:tc>
        <w:tc>
          <w:tcPr>
            <w:tcW w:w="583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27277103" w:rsidP="27277103" w:rsidRDefault="27277103" w14:paraId="3BBDDD63" w14:textId="1695978A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27277103" w:rsidR="27277103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Saldos altos e em moeda estrangeira</w:t>
            </w:r>
          </w:p>
        </w:tc>
      </w:tr>
      <w:tr w:rsidR="27277103" w:rsidTr="27277103" w14:paraId="410BE038">
        <w:trPr>
          <w:trHeight w:val="300"/>
        </w:trPr>
        <w:tc>
          <w:tcPr>
            <w:tcW w:w="1185" w:type="dxa"/>
            <w:tcBorders>
              <w:top w:val="single" w:color="BFBFBF" w:themeColor="background1" w:themeShade="BF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27277103" w:rsidP="27277103" w:rsidRDefault="27277103" w14:paraId="5D289B03" w14:textId="2004B337">
            <w:pPr>
              <w:bidi w:val="0"/>
              <w:spacing w:after="0" w:line="252" w:lineRule="auto"/>
              <w:jc w:val="center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27277103" w:rsidR="27277103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7</w:t>
            </w:r>
          </w:p>
        </w:tc>
        <w:tc>
          <w:tcPr>
            <w:tcW w:w="2595" w:type="dxa"/>
            <w:tcBorders>
              <w:top w:val="single" w:color="BFBFBF" w:themeColor="background1" w:themeShade="BF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27277103" w:rsidP="27277103" w:rsidRDefault="27277103" w14:paraId="5E6CCB8C" w14:textId="518101B8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27277103" w:rsidR="27277103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Demais contas</w:t>
            </w:r>
          </w:p>
        </w:tc>
        <w:tc>
          <w:tcPr>
            <w:tcW w:w="5835" w:type="dxa"/>
            <w:tcBorders>
              <w:top w:val="single" w:color="BFBFBF" w:themeColor="background1" w:themeShade="BF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27277103" w:rsidP="27277103" w:rsidRDefault="27277103" w14:paraId="427B67FE" w14:textId="1CB1437B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27277103" w:rsidR="27277103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Estoques, contas a receber, fornecedores, arrendamentos, impostos e caixa</w:t>
            </w:r>
          </w:p>
        </w:tc>
      </w:tr>
    </w:tbl>
    <w:p xmlns:wp14="http://schemas.microsoft.com/office/word/2010/wordml" w:rsidP="27277103" wp14:paraId="1CAB0630" wp14:textId="15A5D8D7">
      <w:pPr>
        <w:keepNext w:val="1"/>
        <w:pBdr>
          <w:bottom w:val="single" w:color="BFBFBF" w:sz="4" w:space="3"/>
        </w:pBdr>
        <w:bidi w:val="0"/>
        <w:spacing w:before="280" w:after="12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1F3864"/>
          <w:sz w:val="20"/>
          <w:szCs w:val="20"/>
        </w:rPr>
      </w:pPr>
      <w:r w:rsidRPr="27277103" w:rsidR="7BA0699E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color w:val="7F7F7F" w:themeColor="text1" w:themeTint="80" w:themeShade="FF"/>
          <w:sz w:val="20"/>
          <w:szCs w:val="20"/>
        </w:rPr>
        <w:t xml:space="preserve">5   </w:t>
      </w:r>
      <w:r w:rsidRPr="27277103" w:rsidR="7BA0699E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color w:val="1F3864"/>
          <w:sz w:val="20"/>
          <w:szCs w:val="20"/>
        </w:rPr>
        <w:t>CRONOGRAMA</w:t>
      </w:r>
    </w:p>
    <w:tbl>
      <w:tblPr>
        <w:tblStyle w:val="TableNormal"/>
        <w:bidiVisual w:val="0"/>
        <w:tblW w:w="0" w:type="auto"/>
        <w:tblBorders>
          <w:top w:val="single" w:sz="6"/>
          <w:left w:val="single" w:sz="6"/>
          <w:bottom w:val="single" w:sz="6"/>
          <w:right w:val="single" w:sz="6"/>
        </w:tblBorders>
        <w:tblLook w:val="06A0" w:firstRow="1" w:lastRow="0" w:firstColumn="1" w:lastColumn="0" w:noHBand="1" w:noVBand="1"/>
      </w:tblPr>
      <w:tblGrid>
        <w:gridCol w:w="1695"/>
        <w:gridCol w:w="6435"/>
        <w:gridCol w:w="1485"/>
      </w:tblGrid>
      <w:tr w:rsidR="27277103" w:rsidTr="27277103" w14:paraId="70C974DA">
        <w:trPr>
          <w:trHeight w:val="300"/>
        </w:trPr>
        <w:tc>
          <w:tcPr>
            <w:tcW w:w="1695" w:type="dxa"/>
            <w:tcBorders>
              <w:top w:val="single" w:color="262626" w:themeColor="text1" w:themeTint="D9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27277103" w:rsidP="27277103" w:rsidRDefault="27277103" w14:paraId="061DEFEF" w14:textId="0EE4BB08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7F7F7F" w:themeColor="text1" w:themeTint="80" w:themeShade="FF"/>
                <w:sz w:val="16"/>
                <w:szCs w:val="16"/>
              </w:rPr>
            </w:pPr>
            <w:r w:rsidRPr="27277103" w:rsidR="27277103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7F7F7F" w:themeColor="text1" w:themeTint="80" w:themeShade="FF"/>
                <w:sz w:val="16"/>
                <w:szCs w:val="16"/>
              </w:rPr>
              <w:t>Período</w:t>
            </w:r>
          </w:p>
        </w:tc>
        <w:tc>
          <w:tcPr>
            <w:tcW w:w="6435" w:type="dxa"/>
            <w:tcBorders>
              <w:top w:val="single" w:color="262626" w:themeColor="text1" w:themeTint="D9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27277103" w:rsidP="27277103" w:rsidRDefault="27277103" w14:paraId="060EC545" w14:textId="2EE2B16A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7F7F7F" w:themeColor="text1" w:themeTint="80" w:themeShade="FF"/>
                <w:sz w:val="16"/>
                <w:szCs w:val="16"/>
              </w:rPr>
            </w:pPr>
            <w:r w:rsidRPr="27277103" w:rsidR="27277103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7F7F7F" w:themeColor="text1" w:themeTint="80" w:themeShade="FF"/>
                <w:sz w:val="16"/>
                <w:szCs w:val="16"/>
              </w:rPr>
              <w:t>Atividades</w:t>
            </w:r>
          </w:p>
        </w:tc>
        <w:tc>
          <w:tcPr>
            <w:tcW w:w="1485" w:type="dxa"/>
            <w:tcBorders>
              <w:top w:val="single" w:color="262626" w:themeColor="text1" w:themeTint="D9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27277103" w:rsidP="27277103" w:rsidRDefault="27277103" w14:paraId="2C8F1032" w14:textId="542F0F44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7F7F7F" w:themeColor="text1" w:themeTint="80" w:themeShade="FF"/>
                <w:sz w:val="16"/>
                <w:szCs w:val="16"/>
              </w:rPr>
            </w:pPr>
            <w:r w:rsidRPr="27277103" w:rsidR="27277103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7F7F7F" w:themeColor="text1" w:themeTint="80" w:themeShade="FF"/>
                <w:sz w:val="16"/>
                <w:szCs w:val="16"/>
              </w:rPr>
              <w:t>PTs</w:t>
            </w:r>
          </w:p>
        </w:tc>
      </w:tr>
      <w:tr w:rsidR="27277103" w:rsidTr="27277103" w14:paraId="45AC28A4">
        <w:trPr>
          <w:trHeight w:val="300"/>
        </w:trPr>
        <w:tc>
          <w:tcPr>
            <w:tcW w:w="1695" w:type="dxa"/>
            <w:tcBorders>
              <w:top w:val="single" w:color="262626" w:themeColor="text1" w:themeTint="D9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27277103" w:rsidP="27277103" w:rsidRDefault="27277103" w14:paraId="688A422B" w14:textId="240DD982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27277103" w:rsidR="27277103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Mar/2025</w:t>
            </w:r>
          </w:p>
        </w:tc>
        <w:tc>
          <w:tcPr>
            <w:tcW w:w="6435" w:type="dxa"/>
            <w:tcBorders>
              <w:top w:val="single" w:color="262626" w:themeColor="text1" w:themeTint="D9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27277103" w:rsidP="27277103" w:rsidRDefault="27277103" w14:paraId="2A395260" w14:textId="088A2272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27277103" w:rsidR="27277103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Aceitação, carta de contratação (10/03), contato com o auditor antecessor e saldos iniciais</w:t>
            </w:r>
          </w:p>
        </w:tc>
        <w:tc>
          <w:tcPr>
            <w:tcW w:w="1485" w:type="dxa"/>
            <w:tcBorders>
              <w:top w:val="single" w:color="262626" w:themeColor="text1" w:themeTint="D9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27277103" w:rsidP="27277103" w:rsidRDefault="27277103" w14:paraId="0CE854E6" w14:textId="3D165F85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27277103" w:rsidR="27277103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210, 220, 510</w:t>
            </w:r>
          </w:p>
        </w:tc>
      </w:tr>
      <w:tr w:rsidR="27277103" w:rsidTr="27277103" w14:paraId="68533353">
        <w:trPr>
          <w:trHeight w:val="300"/>
        </w:trPr>
        <w:tc>
          <w:tcPr>
            <w:tcW w:w="169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27277103" w:rsidP="27277103" w:rsidRDefault="27277103" w14:paraId="213916B3" w14:textId="771C50C3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27277103" w:rsidR="27277103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Abr–mai/2025</w:t>
            </w:r>
          </w:p>
        </w:tc>
        <w:tc>
          <w:tcPr>
            <w:tcW w:w="643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27277103" w:rsidP="27277103" w:rsidRDefault="27277103" w14:paraId="210D9A65" w14:textId="5BB469F0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27277103" w:rsidR="27277103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Entendimento da entidade, avaliação de riscos, materialidade preliminar (R$ 237,0 mi) e revisão da ITR do 1º trimestre</w:t>
            </w:r>
          </w:p>
        </w:tc>
        <w:tc>
          <w:tcPr>
            <w:tcW w:w="148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27277103" w:rsidP="27277103" w:rsidRDefault="27277103" w14:paraId="6AD92CEA" w14:textId="11AFB199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27277103" w:rsidR="27277103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300, 315, 320</w:t>
            </w:r>
          </w:p>
        </w:tc>
      </w:tr>
      <w:tr w:rsidR="27277103" w:rsidTr="27277103" w14:paraId="10BF995F">
        <w:trPr>
          <w:trHeight w:val="300"/>
        </w:trPr>
        <w:tc>
          <w:tcPr>
            <w:tcW w:w="169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27277103" w:rsidP="27277103" w:rsidRDefault="27277103" w14:paraId="7830A037" w14:textId="0E987FF9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27277103" w:rsidR="27277103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Jul–ago/2025</w:t>
            </w:r>
          </w:p>
        </w:tc>
        <w:tc>
          <w:tcPr>
            <w:tcW w:w="643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27277103" w:rsidP="27277103" w:rsidRDefault="27277103" w14:paraId="06E22236" w14:textId="3D0F7C4E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27277103" w:rsidR="27277103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Revisão da ITR do 2º trimestre; testes interinos de adições ao imobilizado e de lançamentos</w:t>
            </w:r>
          </w:p>
        </w:tc>
        <w:tc>
          <w:tcPr>
            <w:tcW w:w="148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27277103" w:rsidP="27277103" w:rsidRDefault="27277103" w14:paraId="6AF64CDA" w14:textId="128B782A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27277103" w:rsidR="27277103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330, 530, 240</w:t>
            </w:r>
          </w:p>
        </w:tc>
      </w:tr>
      <w:tr w:rsidR="27277103" w:rsidTr="27277103" w14:paraId="5E3E838F">
        <w:trPr>
          <w:trHeight w:val="300"/>
        </w:trPr>
        <w:tc>
          <w:tcPr>
            <w:tcW w:w="169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27277103" w:rsidP="27277103" w:rsidRDefault="27277103" w14:paraId="36C55413" w14:textId="37C7DA21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27277103" w:rsidR="27277103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Out–nov/2025</w:t>
            </w:r>
          </w:p>
        </w:tc>
        <w:tc>
          <w:tcPr>
            <w:tcW w:w="643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27277103" w:rsidP="27277103" w:rsidRDefault="27277103" w14:paraId="7B2403B7" w14:textId="0E6D546D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27277103" w:rsidR="27277103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Revisão da ITR do 3º trimestre; visitas a fábricas e florestas; instruções aos auditores de componentes</w:t>
            </w:r>
          </w:p>
        </w:tc>
        <w:tc>
          <w:tcPr>
            <w:tcW w:w="148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27277103" w:rsidP="27277103" w:rsidRDefault="27277103" w14:paraId="32AEFDAD" w14:textId="29E00508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27277103" w:rsidR="27277103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501, 600</w:t>
            </w:r>
          </w:p>
        </w:tc>
      </w:tr>
      <w:tr w:rsidR="27277103" w:rsidTr="27277103" w14:paraId="1E1CE9A8">
        <w:trPr>
          <w:trHeight w:val="300"/>
        </w:trPr>
        <w:tc>
          <w:tcPr>
            <w:tcW w:w="169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27277103" w:rsidP="27277103" w:rsidRDefault="27277103" w14:paraId="730EB753" w14:textId="3A44B05F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27277103" w:rsidR="27277103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Dez/2025</w:t>
            </w:r>
          </w:p>
        </w:tc>
        <w:tc>
          <w:tcPr>
            <w:tcW w:w="643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27277103" w:rsidP="27277103" w:rsidRDefault="27277103" w14:paraId="3919D78E" w14:textId="5A63FEA3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27277103" w:rsidR="27277103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Observação do inventário físico e teste de corte da receita</w:t>
            </w:r>
          </w:p>
        </w:tc>
        <w:tc>
          <w:tcPr>
            <w:tcW w:w="148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27277103" w:rsidP="27277103" w:rsidRDefault="27277103" w14:paraId="2AAEE7F6" w14:textId="30617092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27277103" w:rsidR="27277103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501, 240</w:t>
            </w:r>
          </w:p>
        </w:tc>
      </w:tr>
      <w:tr w:rsidR="27277103" w:rsidTr="27277103" w14:paraId="7805B137">
        <w:trPr>
          <w:trHeight w:val="300"/>
        </w:trPr>
        <w:tc>
          <w:tcPr>
            <w:tcW w:w="169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27277103" w:rsidP="27277103" w:rsidRDefault="27277103" w14:paraId="371185ED" w14:textId="17315351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27277103" w:rsidR="27277103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Jan/2026</w:t>
            </w:r>
          </w:p>
        </w:tc>
        <w:tc>
          <w:tcPr>
            <w:tcW w:w="643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27277103" w:rsidP="27277103" w:rsidRDefault="27277103" w14:paraId="39454BC6" w14:textId="0C588EA1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27277103" w:rsidR="27277103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Confirmações, testes de saldos finais, estimativas com especialistas e consolidação</w:t>
            </w:r>
          </w:p>
        </w:tc>
        <w:tc>
          <w:tcPr>
            <w:tcW w:w="148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27277103" w:rsidP="27277103" w:rsidRDefault="27277103" w14:paraId="677B82BE" w14:textId="128BC73B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27277103" w:rsidR="27277103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505, 540, 600</w:t>
            </w:r>
          </w:p>
        </w:tc>
      </w:tr>
      <w:tr w:rsidR="27277103" w:rsidTr="27277103" w14:paraId="161F391B">
        <w:trPr>
          <w:trHeight w:val="300"/>
        </w:trPr>
        <w:tc>
          <w:tcPr>
            <w:tcW w:w="169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27277103" w:rsidP="27277103" w:rsidRDefault="27277103" w14:paraId="31A7E13D" w14:textId="30BB0E85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27277103" w:rsidR="27277103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Fev/2026</w:t>
            </w:r>
          </w:p>
        </w:tc>
        <w:tc>
          <w:tcPr>
            <w:tcW w:w="643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27277103" w:rsidP="27277103" w:rsidRDefault="27277103" w14:paraId="3A2B28C5" w14:textId="127C0426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27277103" w:rsidR="27277103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Eventos subsequentes, representações, revisão de qualidade, comunicação à governança e relatório em 10/02</w:t>
            </w:r>
          </w:p>
        </w:tc>
        <w:tc>
          <w:tcPr>
            <w:tcW w:w="148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27277103" w:rsidP="27277103" w:rsidRDefault="27277103" w14:paraId="196DC90C" w14:textId="185D049F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27277103" w:rsidR="27277103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560, 580, 260, 220</w:t>
            </w:r>
          </w:p>
        </w:tc>
      </w:tr>
      <w:tr w:rsidR="27277103" w:rsidTr="27277103" w14:paraId="3ABFEB8C">
        <w:trPr>
          <w:trHeight w:val="300"/>
        </w:trPr>
        <w:tc>
          <w:tcPr>
            <w:tcW w:w="1695" w:type="dxa"/>
            <w:tcBorders>
              <w:top w:val="single" w:color="BFBFBF" w:themeColor="background1" w:themeShade="BF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27277103" w:rsidP="27277103" w:rsidRDefault="27277103" w14:paraId="30DFFA3D" w14:textId="4F56A272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27277103" w:rsidR="27277103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Até 11/04/2026</w:t>
            </w:r>
          </w:p>
        </w:tc>
        <w:tc>
          <w:tcPr>
            <w:tcW w:w="6435" w:type="dxa"/>
            <w:tcBorders>
              <w:top w:val="single" w:color="BFBFBF" w:themeColor="background1" w:themeShade="BF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27277103" w:rsidP="27277103" w:rsidRDefault="27277103" w14:paraId="7E419F87" w14:textId="195F6452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27277103" w:rsidR="27277103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Montagem do arquivo final (60 dias após o relatório)</w:t>
            </w:r>
          </w:p>
        </w:tc>
        <w:tc>
          <w:tcPr>
            <w:tcW w:w="1485" w:type="dxa"/>
            <w:tcBorders>
              <w:top w:val="single" w:color="BFBFBF" w:themeColor="background1" w:themeShade="BF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27277103" w:rsidP="27277103" w:rsidRDefault="27277103" w14:paraId="16A21BBE" w14:textId="5031765C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27277103" w:rsidR="27277103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230</w:t>
            </w:r>
          </w:p>
        </w:tc>
      </w:tr>
    </w:tbl>
    <w:p xmlns:wp14="http://schemas.microsoft.com/office/word/2010/wordml" w:rsidP="27277103" wp14:paraId="51002018" wp14:textId="030155E5">
      <w:pPr>
        <w:keepNext w:val="1"/>
        <w:pBdr>
          <w:bottom w:val="single" w:color="BFBFBF" w:sz="4" w:space="3"/>
        </w:pBdr>
        <w:bidi w:val="0"/>
        <w:spacing w:before="280" w:after="12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1F3864"/>
          <w:sz w:val="20"/>
          <w:szCs w:val="20"/>
        </w:rPr>
      </w:pPr>
      <w:r w:rsidRPr="27277103" w:rsidR="7BA0699E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color w:val="7F7F7F" w:themeColor="text1" w:themeTint="80" w:themeShade="FF"/>
          <w:sz w:val="20"/>
          <w:szCs w:val="20"/>
        </w:rPr>
        <w:t xml:space="preserve">6   </w:t>
      </w:r>
      <w:r w:rsidRPr="27277103" w:rsidR="7BA0699E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color w:val="1F3864"/>
          <w:sz w:val="20"/>
          <w:szCs w:val="20"/>
        </w:rPr>
        <w:t>PROGRAMAS DE AUDITORIA POR CICLO (ITEM 9)</w:t>
      </w:r>
    </w:p>
    <w:p xmlns:wp14="http://schemas.microsoft.com/office/word/2010/wordml" w:rsidP="27277103" wp14:paraId="4C549D1C" wp14:textId="44BFB8F1">
      <w:pPr>
        <w:bidi w:val="0"/>
        <w:spacing w:after="100" w:line="276" w:lineRule="auto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262626" w:themeColor="text1" w:themeTint="D9" w:themeShade="FF"/>
          <w:sz w:val="19"/>
          <w:szCs w:val="19"/>
        </w:rPr>
      </w:pPr>
      <w:r w:rsidRPr="27277103" w:rsidR="7BA0699E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262626" w:themeColor="text1" w:themeTint="D9" w:themeShade="FF"/>
          <w:sz w:val="19"/>
          <w:szCs w:val="19"/>
        </w:rPr>
        <w:t>Programas resumidos; natureza, época e extensão de cada teste estão no PT 330.</w:t>
      </w:r>
    </w:p>
    <w:tbl>
      <w:tblPr>
        <w:tblStyle w:val="TableNormal"/>
        <w:bidiVisual w:val="0"/>
        <w:tblW w:w="0" w:type="auto"/>
        <w:tblBorders>
          <w:top w:val="single" w:sz="6"/>
          <w:left w:val="single" w:sz="6"/>
          <w:bottom w:val="single" w:sz="6"/>
          <w:right w:val="single" w:sz="6"/>
        </w:tblBorders>
        <w:tblLook w:val="06A0" w:firstRow="1" w:lastRow="0" w:firstColumn="1" w:lastColumn="0" w:noHBand="1" w:noVBand="1"/>
      </w:tblPr>
      <w:tblGrid>
        <w:gridCol w:w="1740"/>
        <w:gridCol w:w="1590"/>
        <w:gridCol w:w="4275"/>
        <w:gridCol w:w="1995"/>
      </w:tblGrid>
      <w:tr w:rsidR="27277103" w:rsidTr="27277103" w14:paraId="55E1BBC5">
        <w:trPr>
          <w:trHeight w:val="300"/>
        </w:trPr>
        <w:tc>
          <w:tcPr>
            <w:tcW w:w="1740" w:type="dxa"/>
            <w:tcBorders>
              <w:top w:val="single" w:color="262626" w:themeColor="text1" w:themeTint="D9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27277103" w:rsidP="27277103" w:rsidRDefault="27277103" w14:paraId="2797D653" w14:textId="0A5A33BC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7F7F7F" w:themeColor="text1" w:themeTint="80" w:themeShade="FF"/>
                <w:sz w:val="16"/>
                <w:szCs w:val="16"/>
              </w:rPr>
            </w:pPr>
            <w:r w:rsidRPr="27277103" w:rsidR="27277103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7F7F7F" w:themeColor="text1" w:themeTint="80" w:themeShade="FF"/>
                <w:sz w:val="16"/>
                <w:szCs w:val="16"/>
              </w:rPr>
              <w:t>Ciclo</w:t>
            </w:r>
          </w:p>
        </w:tc>
        <w:tc>
          <w:tcPr>
            <w:tcW w:w="1590" w:type="dxa"/>
            <w:tcBorders>
              <w:top w:val="single" w:color="262626" w:themeColor="text1" w:themeTint="D9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27277103" w:rsidP="27277103" w:rsidRDefault="27277103" w14:paraId="4D3BCE63" w14:textId="3BAFE321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7F7F7F" w:themeColor="text1" w:themeTint="80" w:themeShade="FF"/>
                <w:sz w:val="16"/>
                <w:szCs w:val="16"/>
              </w:rPr>
            </w:pPr>
            <w:r w:rsidRPr="27277103" w:rsidR="27277103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7F7F7F" w:themeColor="text1" w:themeTint="80" w:themeShade="FF"/>
                <w:sz w:val="16"/>
                <w:szCs w:val="16"/>
              </w:rPr>
              <w:t>Afirmações-chave</w:t>
            </w:r>
          </w:p>
        </w:tc>
        <w:tc>
          <w:tcPr>
            <w:tcW w:w="4275" w:type="dxa"/>
            <w:tcBorders>
              <w:top w:val="single" w:color="262626" w:themeColor="text1" w:themeTint="D9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27277103" w:rsidP="27277103" w:rsidRDefault="27277103" w14:paraId="56E12FDD" w14:textId="3608891D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7F7F7F" w:themeColor="text1" w:themeTint="80" w:themeShade="FF"/>
                <w:sz w:val="16"/>
                <w:szCs w:val="16"/>
              </w:rPr>
            </w:pPr>
            <w:r w:rsidRPr="27277103" w:rsidR="27277103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7F7F7F" w:themeColor="text1" w:themeTint="80" w:themeShade="FF"/>
                <w:sz w:val="16"/>
                <w:szCs w:val="16"/>
              </w:rPr>
              <w:t>Procedimentos principais</w:t>
            </w:r>
          </w:p>
        </w:tc>
        <w:tc>
          <w:tcPr>
            <w:tcW w:w="1995" w:type="dxa"/>
            <w:tcBorders>
              <w:top w:val="single" w:color="262626" w:themeColor="text1" w:themeTint="D9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27277103" w:rsidP="27277103" w:rsidRDefault="27277103" w14:paraId="04639F4F" w14:textId="5176C935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7F7F7F" w:themeColor="text1" w:themeTint="80" w:themeShade="FF"/>
                <w:sz w:val="16"/>
                <w:szCs w:val="16"/>
              </w:rPr>
            </w:pPr>
            <w:r w:rsidRPr="27277103" w:rsidR="27277103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7F7F7F" w:themeColor="text1" w:themeTint="80" w:themeShade="FF"/>
                <w:sz w:val="16"/>
                <w:szCs w:val="16"/>
              </w:rPr>
              <w:t>Classificação</w:t>
            </w:r>
          </w:p>
        </w:tc>
      </w:tr>
      <w:tr w:rsidR="27277103" w:rsidTr="27277103" w14:paraId="08C99821">
        <w:trPr>
          <w:trHeight w:val="300"/>
        </w:trPr>
        <w:tc>
          <w:tcPr>
            <w:tcW w:w="1740" w:type="dxa"/>
            <w:tcBorders>
              <w:top w:val="single" w:color="262626" w:themeColor="text1" w:themeTint="D9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27277103" w:rsidP="27277103" w:rsidRDefault="27277103" w14:paraId="0CC12CA1" w14:textId="61A9D272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27277103" w:rsidR="27277103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Receitas</w:t>
            </w:r>
          </w:p>
        </w:tc>
        <w:tc>
          <w:tcPr>
            <w:tcW w:w="1590" w:type="dxa"/>
            <w:tcBorders>
              <w:top w:val="single" w:color="262626" w:themeColor="text1" w:themeTint="D9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27277103" w:rsidP="27277103" w:rsidRDefault="27277103" w14:paraId="2F157E3E" w14:textId="002EC9BE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27277103" w:rsidR="27277103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Ocorrência, corte</w:t>
            </w:r>
          </w:p>
        </w:tc>
        <w:tc>
          <w:tcPr>
            <w:tcW w:w="4275" w:type="dxa"/>
            <w:tcBorders>
              <w:top w:val="single" w:color="262626" w:themeColor="text1" w:themeTint="D9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27277103" w:rsidP="27277103" w:rsidRDefault="27277103" w14:paraId="7226786E" w14:textId="42B2C363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27277103" w:rsidR="27277103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Corte das vendas de dez/2025 e jan/2026 com Incoterm e conhecimento de embarque; analítico por volume e preço; confirmação de clientes</w:t>
            </w:r>
          </w:p>
        </w:tc>
        <w:tc>
          <w:tcPr>
            <w:tcW w:w="1995" w:type="dxa"/>
            <w:tcBorders>
              <w:top w:val="single" w:color="262626" w:themeColor="text1" w:themeTint="D9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27277103" w:rsidP="27277103" w:rsidRDefault="27277103" w14:paraId="59A17A8F" w14:textId="649A77E4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27277103" w:rsidR="27277103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Planejado; analítico com evidência pública</w:t>
            </w:r>
          </w:p>
        </w:tc>
      </w:tr>
      <w:tr w:rsidR="27277103" w:rsidTr="27277103" w14:paraId="166E7579">
        <w:trPr>
          <w:trHeight w:val="300"/>
        </w:trPr>
        <w:tc>
          <w:tcPr>
            <w:tcW w:w="174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27277103" w:rsidP="27277103" w:rsidRDefault="27277103" w14:paraId="48B84EAB" w14:textId="18249F5D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27277103" w:rsidR="27277103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Disponibilidades</w:t>
            </w:r>
          </w:p>
        </w:tc>
        <w:tc>
          <w:tcPr>
            <w:tcW w:w="159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27277103" w:rsidP="27277103" w:rsidRDefault="27277103" w14:paraId="57F2DA0A" w14:textId="57420CE9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27277103" w:rsidR="27277103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Existência, direitos</w:t>
            </w:r>
          </w:p>
        </w:tc>
        <w:tc>
          <w:tcPr>
            <w:tcW w:w="427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27277103" w:rsidP="27277103" w:rsidRDefault="27277103" w14:paraId="57737AAF" w14:textId="3A5A0D99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27277103" w:rsidR="27277103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Confirmação bancária de caixa e aplicações; conciliações bancárias; conferência com o balanço</w:t>
            </w:r>
          </w:p>
        </w:tc>
        <w:tc>
          <w:tcPr>
            <w:tcW w:w="199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27277103" w:rsidP="27277103" w:rsidRDefault="27277103" w14:paraId="625C2108" w14:textId="522EC623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27277103" w:rsidR="27277103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Planejado</w:t>
            </w:r>
          </w:p>
        </w:tc>
      </w:tr>
      <w:tr w:rsidR="27277103" w:rsidTr="27277103" w14:paraId="1C0E2C59">
        <w:trPr>
          <w:trHeight w:val="300"/>
        </w:trPr>
        <w:tc>
          <w:tcPr>
            <w:tcW w:w="174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27277103" w:rsidP="27277103" w:rsidRDefault="27277103" w14:paraId="0EAAB663" w14:textId="22E55516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27277103" w:rsidR="27277103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Estoques</w:t>
            </w:r>
          </w:p>
        </w:tc>
        <w:tc>
          <w:tcPr>
            <w:tcW w:w="159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27277103" w:rsidP="27277103" w:rsidRDefault="27277103" w14:paraId="19BB1210" w14:textId="3D96D497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27277103" w:rsidR="27277103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Existência, valorização</w:t>
            </w:r>
          </w:p>
        </w:tc>
        <w:tc>
          <w:tcPr>
            <w:tcW w:w="427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27277103" w:rsidP="27277103" w:rsidRDefault="27277103" w14:paraId="630B1BC2" w14:textId="0244FE02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27277103" w:rsidR="27277103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Observação do inventário; teste de custo e de valor realizável líquido; corte de entradas e saídas</w:t>
            </w:r>
          </w:p>
        </w:tc>
        <w:tc>
          <w:tcPr>
            <w:tcW w:w="199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27277103" w:rsidP="27277103" w:rsidRDefault="27277103" w14:paraId="603CFAA5" w14:textId="096DBB85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27277103" w:rsidR="27277103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Planejado</w:t>
            </w:r>
          </w:p>
        </w:tc>
      </w:tr>
      <w:tr w:rsidR="27277103" w:rsidTr="27277103" w14:paraId="412E1CE4">
        <w:trPr>
          <w:trHeight w:val="300"/>
        </w:trPr>
        <w:tc>
          <w:tcPr>
            <w:tcW w:w="174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27277103" w:rsidP="27277103" w:rsidRDefault="27277103" w14:paraId="19FF6B41" w14:textId="135EE6DF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27277103" w:rsidR="27277103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Imobilizado</w:t>
            </w:r>
          </w:p>
        </w:tc>
        <w:tc>
          <w:tcPr>
            <w:tcW w:w="159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27277103" w:rsidP="27277103" w:rsidRDefault="27277103" w14:paraId="59309A4E" w14:textId="1E84D5CF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27277103" w:rsidR="27277103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Existência, valorização, direitos</w:t>
            </w:r>
          </w:p>
        </w:tc>
        <w:tc>
          <w:tcPr>
            <w:tcW w:w="427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27277103" w:rsidP="27277103" w:rsidRDefault="27277103" w14:paraId="363FF101" w14:textId="6A533165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27277103" w:rsidR="27277103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 xml:space="preserve">Conciliação </w:t>
            </w:r>
            <w:bookmarkStart w:name="_Int_AtPLggde" w:id="1058698319"/>
            <w:r w:rsidRPr="27277103" w:rsidR="27277103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do razão auxiliar</w:t>
            </w:r>
            <w:bookmarkEnd w:id="1058698319"/>
            <w:r w:rsidRPr="27277103" w:rsidR="27277103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; amostragem de adições e baixas; recálculo da depreciação; análise de projetos concluídos</w:t>
            </w:r>
          </w:p>
        </w:tc>
        <w:tc>
          <w:tcPr>
            <w:tcW w:w="199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27277103" w:rsidP="27277103" w:rsidRDefault="27277103" w14:paraId="5780D387" w14:textId="3FB26BB4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27277103" w:rsidR="27277103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Simulado (SIM) e com evidência pública</w:t>
            </w:r>
          </w:p>
        </w:tc>
      </w:tr>
      <w:tr w:rsidR="27277103" w:rsidTr="27277103" w14:paraId="02840A48">
        <w:trPr>
          <w:trHeight w:val="300"/>
        </w:trPr>
        <w:tc>
          <w:tcPr>
            <w:tcW w:w="174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27277103" w:rsidP="27277103" w:rsidRDefault="27277103" w14:paraId="16D25038" w14:textId="2C9ACB95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27277103" w:rsidR="27277103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Passivos</w:t>
            </w:r>
          </w:p>
        </w:tc>
        <w:tc>
          <w:tcPr>
            <w:tcW w:w="159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27277103" w:rsidP="27277103" w:rsidRDefault="27277103" w14:paraId="15FEE241" w14:textId="395AC915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27277103" w:rsidR="27277103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Integridade, apresentação</w:t>
            </w:r>
          </w:p>
        </w:tc>
        <w:tc>
          <w:tcPr>
            <w:tcW w:w="427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27277103" w:rsidP="27277103" w:rsidRDefault="27277103" w14:paraId="0FCB1B92" w14:textId="778FC448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27277103" w:rsidR="27277103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Confirmação de empréstimos e cartas de advogados; busca de passivos não registrados; análise do risco sacado; classificação curto e longo prazo</w:t>
            </w:r>
          </w:p>
        </w:tc>
        <w:tc>
          <w:tcPr>
            <w:tcW w:w="199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27277103" w:rsidP="27277103" w:rsidRDefault="27277103" w14:paraId="7E5331C6" w14:textId="3BD86FD7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27277103" w:rsidR="27277103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Planejado; parte com evidência pública</w:t>
            </w:r>
          </w:p>
        </w:tc>
      </w:tr>
      <w:tr w:rsidR="27277103" w:rsidTr="27277103" w14:paraId="5381C3B1">
        <w:trPr>
          <w:trHeight w:val="300"/>
        </w:trPr>
        <w:tc>
          <w:tcPr>
            <w:tcW w:w="1740" w:type="dxa"/>
            <w:tcBorders>
              <w:top w:val="single" w:color="BFBFBF" w:themeColor="background1" w:themeShade="BF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27277103" w:rsidP="27277103" w:rsidRDefault="27277103" w14:paraId="2AD19438" w14:textId="143E6811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27277103" w:rsidR="27277103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Estimativas</w:t>
            </w:r>
          </w:p>
        </w:tc>
        <w:tc>
          <w:tcPr>
            <w:tcW w:w="1590" w:type="dxa"/>
            <w:tcBorders>
              <w:top w:val="single" w:color="BFBFBF" w:themeColor="background1" w:themeShade="BF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27277103" w:rsidP="27277103" w:rsidRDefault="27277103" w14:paraId="67761EEC" w14:textId="1DAE534B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27277103" w:rsidR="27277103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Valorização</w:t>
            </w:r>
          </w:p>
        </w:tc>
        <w:tc>
          <w:tcPr>
            <w:tcW w:w="4275" w:type="dxa"/>
            <w:tcBorders>
              <w:top w:val="single" w:color="BFBFBF" w:themeColor="background1" w:themeShade="BF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27277103" w:rsidP="27277103" w:rsidRDefault="27277103" w14:paraId="5BD22C70" w14:textId="57FD07F8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27277103" w:rsidR="27277103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Ativos biológicos, contingências, recuperabilidade do ágio, IR diferido e perda esperada: método, premissas, dados e sensibilidade</w:t>
            </w:r>
          </w:p>
        </w:tc>
        <w:tc>
          <w:tcPr>
            <w:tcW w:w="1995" w:type="dxa"/>
            <w:tcBorders>
              <w:top w:val="single" w:color="BFBFBF" w:themeColor="background1" w:themeShade="BF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27277103" w:rsidP="27277103" w:rsidRDefault="27277103" w14:paraId="0B24C878" w14:textId="7E5F9703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27277103" w:rsidR="27277103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Com evidência pública (PT 540)</w:t>
            </w:r>
          </w:p>
        </w:tc>
      </w:tr>
    </w:tbl>
    <w:p xmlns:wp14="http://schemas.microsoft.com/office/word/2010/wordml" w:rsidP="27277103" wp14:paraId="7E0D3BE2" wp14:textId="6CB71EA4">
      <w:pPr>
        <w:keepNext w:val="1"/>
        <w:pBdr>
          <w:bottom w:val="single" w:color="BFBFBF" w:sz="4" w:space="3"/>
        </w:pBdr>
        <w:bidi w:val="0"/>
        <w:spacing w:before="280" w:after="12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1F3864"/>
          <w:sz w:val="20"/>
          <w:szCs w:val="20"/>
        </w:rPr>
      </w:pPr>
      <w:r w:rsidRPr="27277103" w:rsidR="7BA0699E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color w:val="7F7F7F" w:themeColor="text1" w:themeTint="80" w:themeShade="FF"/>
          <w:sz w:val="20"/>
          <w:szCs w:val="20"/>
        </w:rPr>
        <w:t xml:space="preserve">7   </w:t>
      </w:r>
      <w:r w:rsidRPr="27277103" w:rsidR="7BA0699E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color w:val="1F3864"/>
          <w:sz w:val="20"/>
          <w:szCs w:val="20"/>
        </w:rPr>
        <w:t>ALTERAÇÕES NO PLANEJAMENTO (ITEM 10)</w:t>
      </w:r>
    </w:p>
    <w:tbl>
      <w:tblPr>
        <w:tblStyle w:val="TableNormal"/>
        <w:bidiVisual w:val="0"/>
        <w:tblW w:w="0" w:type="auto"/>
        <w:tblBorders>
          <w:top w:val="single" w:sz="6"/>
          <w:left w:val="single" w:sz="6"/>
          <w:bottom w:val="single" w:sz="6"/>
          <w:right w:val="single" w:sz="6"/>
        </w:tblBorders>
        <w:tblLook w:val="06A0" w:firstRow="1" w:lastRow="0" w:firstColumn="1" w:lastColumn="0" w:noHBand="1" w:noVBand="1"/>
      </w:tblPr>
      <w:tblGrid>
        <w:gridCol w:w="3090"/>
        <w:gridCol w:w="3495"/>
        <w:gridCol w:w="3030"/>
      </w:tblGrid>
      <w:tr w:rsidR="27277103" w:rsidTr="27277103" w14:paraId="1C6D71B1">
        <w:trPr>
          <w:trHeight w:val="300"/>
        </w:trPr>
        <w:tc>
          <w:tcPr>
            <w:tcW w:w="3090" w:type="dxa"/>
            <w:tcBorders>
              <w:top w:val="single" w:color="262626" w:themeColor="text1" w:themeTint="D9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27277103" w:rsidP="27277103" w:rsidRDefault="27277103" w14:paraId="15AFC616" w14:textId="6E83F69C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7F7F7F" w:themeColor="text1" w:themeTint="80" w:themeShade="FF"/>
                <w:sz w:val="16"/>
                <w:szCs w:val="16"/>
              </w:rPr>
            </w:pPr>
            <w:r w:rsidRPr="27277103" w:rsidR="27277103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7F7F7F" w:themeColor="text1" w:themeTint="80" w:themeShade="FF"/>
                <w:sz w:val="16"/>
                <w:szCs w:val="16"/>
              </w:rPr>
              <w:t>Alteração</w:t>
            </w:r>
          </w:p>
        </w:tc>
        <w:tc>
          <w:tcPr>
            <w:tcW w:w="3495" w:type="dxa"/>
            <w:tcBorders>
              <w:top w:val="single" w:color="262626" w:themeColor="text1" w:themeTint="D9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27277103" w:rsidP="27277103" w:rsidRDefault="27277103" w14:paraId="22F96684" w14:textId="5F4CA093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7F7F7F" w:themeColor="text1" w:themeTint="80" w:themeShade="FF"/>
                <w:sz w:val="16"/>
                <w:szCs w:val="16"/>
              </w:rPr>
            </w:pPr>
            <w:r w:rsidRPr="27277103" w:rsidR="27277103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7F7F7F" w:themeColor="text1" w:themeTint="80" w:themeShade="FF"/>
                <w:sz w:val="16"/>
                <w:szCs w:val="16"/>
              </w:rPr>
              <w:t>Motivo</w:t>
            </w:r>
          </w:p>
        </w:tc>
        <w:tc>
          <w:tcPr>
            <w:tcW w:w="3030" w:type="dxa"/>
            <w:tcBorders>
              <w:top w:val="single" w:color="262626" w:themeColor="text1" w:themeTint="D9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27277103" w:rsidP="27277103" w:rsidRDefault="27277103" w14:paraId="1542D1DF" w14:textId="5F8F43D5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7F7F7F" w:themeColor="text1" w:themeTint="80" w:themeShade="FF"/>
                <w:sz w:val="16"/>
                <w:szCs w:val="16"/>
              </w:rPr>
            </w:pPr>
            <w:r w:rsidRPr="27277103" w:rsidR="27277103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7F7F7F" w:themeColor="text1" w:themeTint="80" w:themeShade="FF"/>
                <w:sz w:val="16"/>
                <w:szCs w:val="16"/>
              </w:rPr>
              <w:t>Efeito</w:t>
            </w:r>
          </w:p>
        </w:tc>
      </w:tr>
      <w:tr w:rsidR="27277103" w:rsidTr="27277103" w14:paraId="4687512C">
        <w:trPr>
          <w:trHeight w:val="300"/>
        </w:trPr>
        <w:tc>
          <w:tcPr>
            <w:tcW w:w="3090" w:type="dxa"/>
            <w:tcBorders>
              <w:top w:val="single" w:color="262626" w:themeColor="text1" w:themeTint="D9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27277103" w:rsidP="27277103" w:rsidRDefault="27277103" w14:paraId="7761FCD6" w14:textId="78D0D337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27277103" w:rsidR="27277103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Materialidade revista de R$ 237,0 mi para R$ 250,6 mi</w:t>
            </w:r>
          </w:p>
        </w:tc>
        <w:tc>
          <w:tcPr>
            <w:tcW w:w="3495" w:type="dxa"/>
            <w:tcBorders>
              <w:top w:val="single" w:color="262626" w:themeColor="text1" w:themeTint="D9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27277103" w:rsidP="27277103" w:rsidRDefault="27277103" w14:paraId="52402357" w14:textId="690BA838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27277103" w:rsidR="27277103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Receita efetiva de 2025 substituiu a de 2024</w:t>
            </w:r>
          </w:p>
        </w:tc>
        <w:tc>
          <w:tcPr>
            <w:tcW w:w="3030" w:type="dxa"/>
            <w:tcBorders>
              <w:top w:val="single" w:color="262626" w:themeColor="text1" w:themeTint="D9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27277103" w:rsidP="27277103" w:rsidRDefault="27277103" w14:paraId="105788E6" w14:textId="049D121C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27277103" w:rsidR="27277103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Procedimentos já feitos continuam suficientes (PT 320)</w:t>
            </w:r>
          </w:p>
        </w:tc>
      </w:tr>
      <w:tr w:rsidR="27277103" w:rsidTr="27277103" w14:paraId="53759409">
        <w:trPr>
          <w:trHeight w:val="300"/>
        </w:trPr>
        <w:tc>
          <w:tcPr>
            <w:tcW w:w="309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27277103" w:rsidP="27277103" w:rsidRDefault="27277103" w14:paraId="7E6D95C4" w14:textId="2ACDFF19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27277103" w:rsidR="27277103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Inclusão de teste sobre o risco sacado</w:t>
            </w:r>
          </w:p>
        </w:tc>
        <w:tc>
          <w:tcPr>
            <w:tcW w:w="349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27277103" w:rsidP="27277103" w:rsidRDefault="27277103" w14:paraId="6137C684" w14:textId="47CA36BF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27277103" w:rsidR="27277103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Nota de fornecedores informa R$ 439 mi antecipados por bancos</w:t>
            </w:r>
          </w:p>
        </w:tc>
        <w:tc>
          <w:tcPr>
            <w:tcW w:w="303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27277103" w:rsidP="27277103" w:rsidRDefault="27277103" w14:paraId="243C6175" w14:textId="3CBB7676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27277103" w:rsidR="27277103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Novo procedimento no ciclo de passivos</w:t>
            </w:r>
          </w:p>
        </w:tc>
      </w:tr>
      <w:tr w:rsidR="27277103" w:rsidTr="27277103" w14:paraId="3AC6C5ED">
        <w:trPr>
          <w:trHeight w:val="300"/>
        </w:trPr>
        <w:tc>
          <w:tcPr>
            <w:tcW w:w="309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27277103" w:rsidP="27277103" w:rsidRDefault="27277103" w14:paraId="098DE633" w14:textId="7D4B876F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27277103" w:rsidR="27277103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Investigação da queda dos processos cíveis e ambientais</w:t>
            </w:r>
          </w:p>
        </w:tc>
        <w:tc>
          <w:tcPr>
            <w:tcW w:w="349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27277103" w:rsidP="27277103" w:rsidRDefault="27277103" w14:paraId="0C4E657E" w14:textId="3A4C0192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27277103" w:rsidR="27277103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Redução de R$ 5,1 bi para R$ 1,0 bi</w:t>
            </w:r>
          </w:p>
        </w:tc>
        <w:tc>
          <w:tcPr>
            <w:tcW w:w="303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27277103" w:rsidP="27277103" w:rsidRDefault="27277103" w14:paraId="1CE86D96" w14:textId="7AB490AE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27277103" w:rsidR="27277103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Procedimento adicional no PT 501</w:t>
            </w:r>
          </w:p>
        </w:tc>
      </w:tr>
      <w:tr w:rsidR="27277103" w:rsidTr="27277103" w14:paraId="35FE1306">
        <w:trPr>
          <w:trHeight w:val="300"/>
        </w:trPr>
        <w:tc>
          <w:tcPr>
            <w:tcW w:w="3090" w:type="dxa"/>
            <w:tcBorders>
              <w:top w:val="single" w:color="BFBFBF" w:themeColor="background1" w:themeShade="BF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27277103" w:rsidP="27277103" w:rsidRDefault="27277103" w14:paraId="2A3C9D04" w14:textId="7BE07711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27277103" w:rsidR="27277103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Abordagem substantiva em todas as áreas</w:t>
            </w:r>
          </w:p>
        </w:tc>
        <w:tc>
          <w:tcPr>
            <w:tcW w:w="3495" w:type="dxa"/>
            <w:tcBorders>
              <w:top w:val="single" w:color="BFBFBF" w:themeColor="background1" w:themeShade="BF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27277103" w:rsidP="27277103" w:rsidRDefault="27277103" w14:paraId="058A5853" w14:textId="5FD4C557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27277103" w:rsidR="27277103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Impossibilidade de testar controles</w:t>
            </w:r>
          </w:p>
        </w:tc>
        <w:tc>
          <w:tcPr>
            <w:tcW w:w="3030" w:type="dxa"/>
            <w:tcBorders>
              <w:top w:val="single" w:color="BFBFBF" w:themeColor="background1" w:themeShade="BF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27277103" w:rsidP="27277103" w:rsidRDefault="27277103" w14:paraId="73F0299B" w14:textId="2EBD35B8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27277103" w:rsidR="27277103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Maior extensão dos testes substantivos (PT 330)</w:t>
            </w:r>
          </w:p>
        </w:tc>
      </w:tr>
    </w:tbl>
    <w:p xmlns:wp14="http://schemas.microsoft.com/office/word/2010/wordml" w:rsidP="27277103" wp14:paraId="7D3E24DC" wp14:textId="36098F9B">
      <w:pPr>
        <w:keepNext w:val="1"/>
        <w:pBdr>
          <w:bottom w:val="single" w:color="BFBFBF" w:sz="4" w:space="3"/>
        </w:pBdr>
        <w:bidi w:val="0"/>
        <w:spacing w:before="280" w:after="12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1F3864"/>
          <w:sz w:val="20"/>
          <w:szCs w:val="20"/>
        </w:rPr>
      </w:pPr>
      <w:r w:rsidRPr="27277103" w:rsidR="7BA0699E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color w:val="7F7F7F" w:themeColor="text1" w:themeTint="80" w:themeShade="FF"/>
          <w:sz w:val="20"/>
          <w:szCs w:val="20"/>
        </w:rPr>
        <w:t xml:space="preserve">8   </w:t>
      </w:r>
      <w:r w:rsidRPr="27277103" w:rsidR="7BA0699E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color w:val="1F3864"/>
          <w:sz w:val="20"/>
          <w:szCs w:val="20"/>
        </w:rPr>
        <w:t>PROCEDIMENTOS</w:t>
      </w:r>
    </w:p>
    <w:tbl>
      <w:tblPr>
        <w:tblStyle w:val="TableNormal"/>
        <w:bidiVisual w:val="0"/>
        <w:tblW w:w="0" w:type="auto"/>
        <w:tblBorders>
          <w:top w:val="single" w:sz="6"/>
          <w:left w:val="single" w:sz="6"/>
          <w:bottom w:val="single" w:sz="6"/>
          <w:right w:val="single" w:sz="6"/>
        </w:tblBorders>
        <w:tblLook w:val="06A0" w:firstRow="1" w:lastRow="0" w:firstColumn="1" w:lastColumn="0" w:noHBand="1" w:noVBand="1"/>
      </w:tblPr>
      <w:tblGrid>
        <w:gridCol w:w="4890"/>
        <w:gridCol w:w="2700"/>
        <w:gridCol w:w="2025"/>
      </w:tblGrid>
      <w:tr w:rsidR="27277103" w:rsidTr="27277103" w14:paraId="5E6298A2">
        <w:trPr>
          <w:trHeight w:val="300"/>
        </w:trPr>
        <w:tc>
          <w:tcPr>
            <w:tcW w:w="4890" w:type="dxa"/>
            <w:tcBorders>
              <w:top w:val="single" w:color="262626" w:themeColor="text1" w:themeTint="D9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27277103" w:rsidP="27277103" w:rsidRDefault="27277103" w14:paraId="085D3C0A" w14:textId="766BC623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7F7F7F" w:themeColor="text1" w:themeTint="80" w:themeShade="FF"/>
                <w:sz w:val="16"/>
                <w:szCs w:val="16"/>
              </w:rPr>
            </w:pPr>
            <w:r w:rsidRPr="27277103" w:rsidR="27277103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7F7F7F" w:themeColor="text1" w:themeTint="80" w:themeShade="FF"/>
                <w:sz w:val="16"/>
                <w:szCs w:val="16"/>
              </w:rPr>
              <w:t>Procedimento</w:t>
            </w:r>
          </w:p>
        </w:tc>
        <w:tc>
          <w:tcPr>
            <w:tcW w:w="2700" w:type="dxa"/>
            <w:tcBorders>
              <w:top w:val="single" w:color="262626" w:themeColor="text1" w:themeTint="D9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27277103" w:rsidP="27277103" w:rsidRDefault="27277103" w14:paraId="255CAF7A" w14:textId="6D04A1CB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7F7F7F" w:themeColor="text1" w:themeTint="80" w:themeShade="FF"/>
                <w:sz w:val="16"/>
                <w:szCs w:val="16"/>
              </w:rPr>
            </w:pPr>
            <w:r w:rsidRPr="27277103" w:rsidR="27277103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7F7F7F" w:themeColor="text1" w:themeTint="80" w:themeShade="FF"/>
                <w:sz w:val="16"/>
                <w:szCs w:val="16"/>
              </w:rPr>
              <w:t>Classificação</w:t>
            </w:r>
          </w:p>
        </w:tc>
        <w:tc>
          <w:tcPr>
            <w:tcW w:w="2025" w:type="dxa"/>
            <w:tcBorders>
              <w:top w:val="single" w:color="262626" w:themeColor="text1" w:themeTint="D9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27277103" w:rsidP="27277103" w:rsidRDefault="27277103" w14:paraId="5EAE349C" w14:textId="45CA67F3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7F7F7F" w:themeColor="text1" w:themeTint="80" w:themeShade="FF"/>
                <w:sz w:val="16"/>
                <w:szCs w:val="16"/>
              </w:rPr>
            </w:pPr>
            <w:r w:rsidRPr="27277103" w:rsidR="27277103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7F7F7F" w:themeColor="text1" w:themeTint="80" w:themeShade="FF"/>
                <w:sz w:val="16"/>
                <w:szCs w:val="16"/>
              </w:rPr>
              <w:t>Evidência</w:t>
            </w:r>
          </w:p>
        </w:tc>
      </w:tr>
      <w:tr w:rsidR="27277103" w:rsidTr="27277103" w14:paraId="179AE247">
        <w:trPr>
          <w:trHeight w:val="300"/>
        </w:trPr>
        <w:tc>
          <w:tcPr>
            <w:tcW w:w="4890" w:type="dxa"/>
            <w:tcBorders>
              <w:top w:val="single" w:color="262626" w:themeColor="text1" w:themeTint="D9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27277103" w:rsidP="27277103" w:rsidRDefault="27277103" w14:paraId="7426F1F7" w14:textId="13F26B5A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27277103" w:rsidR="27277103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Definir estratégia, prioridades e programas com base nos PTs anteriores</w:t>
            </w:r>
          </w:p>
        </w:tc>
        <w:tc>
          <w:tcPr>
            <w:tcW w:w="2700" w:type="dxa"/>
            <w:tcBorders>
              <w:top w:val="single" w:color="262626" w:themeColor="text1" w:themeTint="D9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27277103" w:rsidP="27277103" w:rsidRDefault="27277103" w14:paraId="2E7313FE" w14:textId="38E527D0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27277103" w:rsidR="27277103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Realizado</w:t>
            </w:r>
          </w:p>
        </w:tc>
        <w:tc>
          <w:tcPr>
            <w:tcW w:w="2025" w:type="dxa"/>
            <w:tcBorders>
              <w:top w:val="single" w:color="262626" w:themeColor="text1" w:themeTint="D9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27277103" w:rsidP="27277103" w:rsidRDefault="27277103" w14:paraId="1649F593" w14:textId="0BBF7816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27277103" w:rsidR="27277103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Seções 3, 4 e 6</w:t>
            </w:r>
          </w:p>
        </w:tc>
      </w:tr>
      <w:tr w:rsidR="27277103" w:rsidTr="27277103" w14:paraId="324D4130">
        <w:trPr>
          <w:trHeight w:val="300"/>
        </w:trPr>
        <w:tc>
          <w:tcPr>
            <w:tcW w:w="489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27277103" w:rsidP="27277103" w:rsidRDefault="27277103" w14:paraId="0543B399" w14:textId="775F2F4D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27277103" w:rsidR="27277103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Elaborar cronograma coerente com as datas reais da Companhia</w:t>
            </w:r>
          </w:p>
        </w:tc>
        <w:tc>
          <w:tcPr>
            <w:tcW w:w="270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27277103" w:rsidP="27277103" w:rsidRDefault="27277103" w14:paraId="32E1869B" w14:textId="72647E64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27277103" w:rsidR="27277103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Planejado – hipotético</w:t>
            </w:r>
          </w:p>
        </w:tc>
        <w:tc>
          <w:tcPr>
            <w:tcW w:w="202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27277103" w:rsidP="27277103" w:rsidRDefault="27277103" w14:paraId="6DD45984" w14:textId="6602309A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27277103" w:rsidR="27277103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Seção 5</w:t>
            </w:r>
          </w:p>
        </w:tc>
      </w:tr>
      <w:tr w:rsidR="27277103" w:rsidTr="27277103" w14:paraId="2F376CC3">
        <w:trPr>
          <w:trHeight w:val="300"/>
        </w:trPr>
        <w:tc>
          <w:tcPr>
            <w:tcW w:w="489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27277103" w:rsidP="27277103" w:rsidRDefault="27277103" w14:paraId="5685C7D2" w14:textId="75A5077B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27277103" w:rsidR="27277103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Registrar alterações no planejamento</w:t>
            </w:r>
          </w:p>
        </w:tc>
        <w:tc>
          <w:tcPr>
            <w:tcW w:w="270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27277103" w:rsidP="27277103" w:rsidRDefault="27277103" w14:paraId="7ADAB739" w14:textId="65B0B911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27277103" w:rsidR="27277103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Realizado</w:t>
            </w:r>
          </w:p>
        </w:tc>
        <w:tc>
          <w:tcPr>
            <w:tcW w:w="202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27277103" w:rsidP="27277103" w:rsidRDefault="27277103" w14:paraId="105CABAF" w14:textId="4E78778E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27277103" w:rsidR="27277103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Seção 7</w:t>
            </w:r>
          </w:p>
        </w:tc>
      </w:tr>
      <w:tr w:rsidR="27277103" w:rsidTr="27277103" w14:paraId="04EEA202">
        <w:trPr>
          <w:trHeight w:val="300"/>
        </w:trPr>
        <w:tc>
          <w:tcPr>
            <w:tcW w:w="4890" w:type="dxa"/>
            <w:tcBorders>
              <w:top w:val="single" w:color="BFBFBF" w:themeColor="background1" w:themeShade="BF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27277103" w:rsidP="27277103" w:rsidRDefault="27277103" w14:paraId="3A2490C5" w14:textId="42E984F9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27277103" w:rsidR="27277103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Discutir o plano com o Comitê de Auditoria</w:t>
            </w:r>
          </w:p>
        </w:tc>
        <w:tc>
          <w:tcPr>
            <w:tcW w:w="2700" w:type="dxa"/>
            <w:tcBorders>
              <w:top w:val="single" w:color="BFBFBF" w:themeColor="background1" w:themeShade="BF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27277103" w:rsidP="27277103" w:rsidRDefault="27277103" w14:paraId="7A5A7203" w14:textId="111AEF55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27277103" w:rsidR="27277103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Planejado por falta de acesso</w:t>
            </w:r>
          </w:p>
        </w:tc>
        <w:tc>
          <w:tcPr>
            <w:tcW w:w="2025" w:type="dxa"/>
            <w:tcBorders>
              <w:top w:val="single" w:color="BFBFBF" w:themeColor="background1" w:themeShade="BF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27277103" w:rsidP="27277103" w:rsidRDefault="27277103" w14:paraId="58451D0F" w14:textId="7F4EEE03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27277103" w:rsidR="27277103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→ PT 260</w:t>
            </w:r>
          </w:p>
        </w:tc>
      </w:tr>
    </w:tbl>
    <w:p xmlns:wp14="http://schemas.microsoft.com/office/word/2010/wordml" w:rsidP="27277103" wp14:paraId="4C7D9A3B" wp14:textId="089E2390">
      <w:pPr>
        <w:keepNext w:val="1"/>
        <w:pBdr>
          <w:bottom w:val="single" w:color="BFBFBF" w:sz="4" w:space="3"/>
        </w:pBdr>
        <w:bidi w:val="0"/>
        <w:spacing w:before="280" w:after="12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1F3864"/>
          <w:sz w:val="20"/>
          <w:szCs w:val="20"/>
        </w:rPr>
      </w:pPr>
      <w:r w:rsidRPr="27277103" w:rsidR="7BA0699E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color w:val="7F7F7F" w:themeColor="text1" w:themeTint="80" w:themeShade="FF"/>
          <w:sz w:val="20"/>
          <w:szCs w:val="20"/>
        </w:rPr>
        <w:t xml:space="preserve">9   </w:t>
      </w:r>
      <w:r w:rsidRPr="27277103" w:rsidR="7BA0699E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color w:val="1F3864"/>
          <w:sz w:val="20"/>
          <w:szCs w:val="20"/>
        </w:rPr>
        <w:t>CONCLUSÃO E LIMITAÇÕES</w:t>
      </w:r>
    </w:p>
    <w:p xmlns:wp14="http://schemas.microsoft.com/office/word/2010/wordml" w:rsidP="27277103" wp14:paraId="0B93F86F" wp14:textId="106EB9EF">
      <w:pPr>
        <w:bidi w:val="0"/>
        <w:spacing w:after="100" w:line="276" w:lineRule="auto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262626" w:themeColor="text1" w:themeTint="D9" w:themeShade="FF"/>
          <w:sz w:val="19"/>
          <w:szCs w:val="19"/>
        </w:rPr>
      </w:pPr>
      <w:r w:rsidRPr="27277103" w:rsidR="7BA0699E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color w:val="262626" w:themeColor="text1" w:themeTint="D9" w:themeShade="FF"/>
          <w:sz w:val="19"/>
          <w:szCs w:val="19"/>
        </w:rPr>
        <w:t xml:space="preserve">Resultado. </w:t>
      </w:r>
      <w:r w:rsidRPr="27277103" w:rsidR="7BA0699E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262626" w:themeColor="text1" w:themeTint="D9" w:themeShade="FF"/>
          <w:sz w:val="19"/>
          <w:szCs w:val="19"/>
        </w:rPr>
        <w:t>Estratégia essencialmente substantiva, com prioridade para os riscos significativos e o imobilizado. Sem exceções.</w:t>
      </w:r>
    </w:p>
    <w:p xmlns:wp14="http://schemas.microsoft.com/office/word/2010/wordml" w:rsidP="27277103" wp14:paraId="78B858F7" wp14:textId="29787A0B">
      <w:pPr>
        <w:bidi w:val="0"/>
        <w:spacing w:after="100" w:line="276" w:lineRule="auto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262626" w:themeColor="text1" w:themeTint="D9" w:themeShade="FF"/>
          <w:sz w:val="19"/>
          <w:szCs w:val="19"/>
        </w:rPr>
      </w:pPr>
      <w:r w:rsidRPr="27277103" w:rsidR="7BA0699E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color w:val="262626" w:themeColor="text1" w:themeTint="D9" w:themeShade="FF"/>
          <w:sz w:val="19"/>
          <w:szCs w:val="19"/>
        </w:rPr>
        <w:t xml:space="preserve">Limitações. </w:t>
      </w:r>
      <w:r w:rsidRPr="27277103" w:rsidR="7BA0699E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262626" w:themeColor="text1" w:themeTint="D9" w:themeShade="FF"/>
          <w:sz w:val="19"/>
          <w:szCs w:val="19"/>
        </w:rPr>
        <w:t>O cronograma é hipotético, sem as datas reais dos trabalhos da PwC; os programas só podem ser executados na parte pública ou simulada.</w:t>
      </w:r>
    </w:p>
    <w:p xmlns:wp14="http://schemas.microsoft.com/office/word/2010/wordml" w:rsidP="27277103" wp14:paraId="269CE7CA" wp14:textId="0C234148">
      <w:pPr>
        <w:bidi w:val="0"/>
        <w:spacing w:after="100" w:line="276" w:lineRule="auto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262626" w:themeColor="text1" w:themeTint="D9" w:themeShade="FF"/>
          <w:sz w:val="19"/>
          <w:szCs w:val="19"/>
        </w:rPr>
      </w:pPr>
      <w:r w:rsidRPr="27277103" w:rsidR="7BA0699E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color w:val="262626" w:themeColor="text1" w:themeTint="D9" w:themeShade="FF"/>
          <w:sz w:val="19"/>
          <w:szCs w:val="19"/>
        </w:rPr>
        <w:t xml:space="preserve">Referências cruzadas. </w:t>
      </w:r>
      <w:r w:rsidRPr="27277103" w:rsidR="7BA0699E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262626" w:themeColor="text1" w:themeTint="D9" w:themeShade="FF"/>
          <w:sz w:val="19"/>
          <w:szCs w:val="19"/>
        </w:rPr>
        <w:t>PTs 210, 220, 240, 260, 315, 320, 330, 501, 505, 510, 530, 540, 560, 580 e 600.</w:t>
      </w:r>
    </w:p>
    <w:p xmlns:wp14="http://schemas.microsoft.com/office/word/2010/wordml" w:rsidP="27277103" wp14:paraId="4E2724C0" wp14:textId="0CA32E92">
      <w:pPr>
        <w:keepNext w:val="1"/>
        <w:pBdr>
          <w:bottom w:val="single" w:color="BFBFBF" w:sz="4" w:space="3"/>
        </w:pBdr>
        <w:bidi w:val="0"/>
        <w:spacing w:before="280" w:after="12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1F3864"/>
          <w:sz w:val="20"/>
          <w:szCs w:val="20"/>
        </w:rPr>
      </w:pPr>
      <w:r w:rsidRPr="27277103" w:rsidR="7BA0699E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color w:val="7F7F7F" w:themeColor="text1" w:themeTint="80" w:themeShade="FF"/>
          <w:sz w:val="20"/>
          <w:szCs w:val="20"/>
        </w:rPr>
        <w:t xml:space="preserve">10   </w:t>
      </w:r>
      <w:r w:rsidRPr="27277103" w:rsidR="7BA0699E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color w:val="1F3864"/>
          <w:sz w:val="20"/>
          <w:szCs w:val="20"/>
        </w:rPr>
        <w:t>PREPARAÇÃO E REVISÃO</w:t>
      </w:r>
    </w:p>
    <w:tbl>
      <w:tblPr>
        <w:tblStyle w:val="TableNormal"/>
        <w:bidiVisual w:val="0"/>
        <w:tblW w:w="0" w:type="auto"/>
        <w:tblBorders>
          <w:top w:val="single" w:sz="6"/>
          <w:left w:val="single" w:sz="6"/>
          <w:bottom w:val="single" w:sz="6"/>
          <w:right w:val="single" w:sz="6"/>
        </w:tblBorders>
        <w:tblLook w:val="06A0" w:firstRow="1" w:lastRow="0" w:firstColumn="1" w:lastColumn="0" w:noHBand="1" w:noVBand="1"/>
      </w:tblPr>
      <w:tblGrid>
        <w:gridCol w:w="3195"/>
        <w:gridCol w:w="1800"/>
        <w:gridCol w:w="2835"/>
        <w:gridCol w:w="1800"/>
      </w:tblGrid>
      <w:tr w:rsidR="27277103" w:rsidTr="27277103" w14:paraId="38855CB2">
        <w:trPr>
          <w:trHeight w:val="300"/>
        </w:trPr>
        <w:tc>
          <w:tcPr>
            <w:tcW w:w="3195" w:type="dxa"/>
            <w:tcBorders>
              <w:top w:val="single" w:color="262626" w:themeColor="text1" w:themeTint="D9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27277103" w:rsidP="27277103" w:rsidRDefault="27277103" w14:paraId="7114D3E4" w14:textId="220CE04F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7F7F7F" w:themeColor="text1" w:themeTint="80" w:themeShade="FF"/>
                <w:sz w:val="16"/>
                <w:szCs w:val="16"/>
              </w:rPr>
            </w:pPr>
            <w:r w:rsidRPr="27277103" w:rsidR="27277103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7F7F7F" w:themeColor="text1" w:themeTint="80" w:themeShade="FF"/>
                <w:sz w:val="16"/>
                <w:szCs w:val="16"/>
              </w:rPr>
              <w:t>Preparado por (matrícula)</w:t>
            </w:r>
          </w:p>
        </w:tc>
        <w:tc>
          <w:tcPr>
            <w:tcW w:w="1800" w:type="dxa"/>
            <w:tcBorders>
              <w:top w:val="single" w:color="262626" w:themeColor="text1" w:themeTint="D9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27277103" w:rsidP="27277103" w:rsidRDefault="27277103" w14:paraId="04582231" w14:textId="52F274FD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7F7F7F" w:themeColor="text1" w:themeTint="80" w:themeShade="FF"/>
                <w:sz w:val="16"/>
                <w:szCs w:val="16"/>
              </w:rPr>
            </w:pPr>
            <w:r w:rsidRPr="27277103" w:rsidR="27277103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7F7F7F" w:themeColor="text1" w:themeTint="80" w:themeShade="FF"/>
                <w:sz w:val="16"/>
                <w:szCs w:val="16"/>
              </w:rPr>
              <w:t>Data</w:t>
            </w:r>
          </w:p>
        </w:tc>
        <w:tc>
          <w:tcPr>
            <w:tcW w:w="2835" w:type="dxa"/>
            <w:tcBorders>
              <w:top w:val="single" w:color="262626" w:themeColor="text1" w:themeTint="D9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27277103" w:rsidP="27277103" w:rsidRDefault="27277103" w14:paraId="3A78A593" w14:textId="24C2235F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7F7F7F" w:themeColor="text1" w:themeTint="80" w:themeShade="FF"/>
                <w:sz w:val="16"/>
                <w:szCs w:val="16"/>
              </w:rPr>
            </w:pPr>
            <w:r w:rsidRPr="27277103" w:rsidR="27277103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7F7F7F" w:themeColor="text1" w:themeTint="80" w:themeShade="FF"/>
                <w:sz w:val="16"/>
                <w:szCs w:val="16"/>
              </w:rPr>
              <w:t>Revisado por</w:t>
            </w:r>
          </w:p>
        </w:tc>
        <w:tc>
          <w:tcPr>
            <w:tcW w:w="1800" w:type="dxa"/>
            <w:tcBorders>
              <w:top w:val="single" w:color="262626" w:themeColor="text1" w:themeTint="D9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27277103" w:rsidP="27277103" w:rsidRDefault="27277103" w14:paraId="5BE71DBD" w14:textId="6A9493BE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7F7F7F" w:themeColor="text1" w:themeTint="80" w:themeShade="FF"/>
                <w:sz w:val="16"/>
                <w:szCs w:val="16"/>
              </w:rPr>
            </w:pPr>
            <w:r w:rsidRPr="27277103" w:rsidR="27277103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7F7F7F" w:themeColor="text1" w:themeTint="80" w:themeShade="FF"/>
                <w:sz w:val="16"/>
                <w:szCs w:val="16"/>
              </w:rPr>
              <w:t>Data da revisão</w:t>
            </w:r>
          </w:p>
        </w:tc>
      </w:tr>
      <w:tr w:rsidR="27277103" w:rsidTr="27277103" w14:paraId="7248FF75">
        <w:trPr>
          <w:trHeight w:val="300"/>
        </w:trPr>
        <w:tc>
          <w:tcPr>
            <w:tcW w:w="3195" w:type="dxa"/>
            <w:tcBorders>
              <w:top w:val="single" w:color="262626" w:themeColor="text1" w:themeTint="D9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27277103" w:rsidP="27277103" w:rsidRDefault="27277103" w14:paraId="3160CBE6" w14:textId="4CFD8473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27277103" w:rsidR="27277103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241003769</w:t>
            </w:r>
          </w:p>
        </w:tc>
        <w:tc>
          <w:tcPr>
            <w:tcW w:w="1800" w:type="dxa"/>
            <w:tcBorders>
              <w:top w:val="single" w:color="262626" w:themeColor="text1" w:themeTint="D9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27277103" w:rsidP="27277103" w:rsidRDefault="27277103" w14:paraId="516B3C0F" w14:textId="104934F4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27277103" w:rsidR="27277103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20/10/2026</w:t>
            </w:r>
          </w:p>
        </w:tc>
        <w:tc>
          <w:tcPr>
            <w:tcW w:w="2835" w:type="dxa"/>
            <w:tcBorders>
              <w:top w:val="single" w:color="262626" w:themeColor="text1" w:themeTint="D9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27277103" w:rsidP="27277103" w:rsidRDefault="27277103" w14:paraId="2FB00706" w14:textId="15D04FFB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9"/>
                <w:szCs w:val="19"/>
              </w:rPr>
            </w:pPr>
          </w:p>
        </w:tc>
        <w:tc>
          <w:tcPr>
            <w:tcW w:w="1800" w:type="dxa"/>
            <w:tcBorders>
              <w:top w:val="single" w:color="262626" w:themeColor="text1" w:themeTint="D9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27277103" w:rsidP="27277103" w:rsidRDefault="27277103" w14:paraId="4829C8B4" w14:textId="1669EBDB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9"/>
                <w:szCs w:val="19"/>
              </w:rPr>
            </w:pPr>
          </w:p>
        </w:tc>
      </w:tr>
    </w:tbl>
    <w:p xmlns:wp14="http://schemas.microsoft.com/office/word/2010/wordml" w:rsidP="27277103" wp14:paraId="473E6FCF" wp14:textId="7368F2A1">
      <w:pPr>
        <w:bidi w:val="0"/>
        <w:spacing w:after="4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262626" w:themeColor="text1" w:themeTint="D9" w:themeShade="FF"/>
          <w:sz w:val="19"/>
          <w:szCs w:val="19"/>
        </w:rPr>
      </w:pPr>
    </w:p>
    <w:p xmlns:wp14="http://schemas.microsoft.com/office/word/2010/wordml" w:rsidP="27277103" wp14:paraId="1E207724" wp14:textId="5AF8DC36">
      <w:pPr>
        <w:pStyle w:val="Normal"/>
        <w:bidi w:val="0"/>
        <w:spacing w:after="4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262626" w:themeColor="text1" w:themeTint="D9" w:themeShade="FF"/>
          <w:sz w:val="19"/>
          <w:szCs w:val="19"/>
        </w:rPr>
      </w:pPr>
    </w:p>
    <w:sectPr>
      <w:pgSz w:w="11906" w:h="16838" w:orient="portrait"/>
      <w:pgMar w:top="1440" w:right="1440" w:bottom="1440" w:left="1440" w:header="720" w:footer="720" w:gutter="0"/>
      <w:cols w:space="720"/>
      <w:docGrid w:linePitch="360"/>
      <w:headerReference w:type="default" r:id="R5496897c962e4e99"/>
      <w:footerReference w:type="default" r:id="Rc96e277d23e448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.xml><?xml version="1.0" encoding="utf-8"?>
<w:ft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27277103" w:rsidTr="27277103" w14:paraId="31351362">
      <w:trPr>
        <w:trHeight w:val="300"/>
      </w:trPr>
      <w:tc>
        <w:tcPr>
          <w:tcW w:w="3005" w:type="dxa"/>
          <w:tcMar/>
        </w:tcPr>
        <w:p w:rsidR="27277103" w:rsidP="27277103" w:rsidRDefault="27277103" w14:paraId="1377EA6A" w14:textId="4F7EB5A5">
          <w:pPr>
            <w:pStyle w:val="Header"/>
            <w:bidi w:val="0"/>
            <w:ind w:left="-115"/>
            <w:jc w:val="left"/>
          </w:pPr>
        </w:p>
      </w:tc>
      <w:tc>
        <w:tcPr>
          <w:tcW w:w="3005" w:type="dxa"/>
          <w:tcMar/>
        </w:tcPr>
        <w:p w:rsidR="27277103" w:rsidP="27277103" w:rsidRDefault="27277103" w14:paraId="2732992B" w14:textId="42DB9444">
          <w:pPr>
            <w:pStyle w:val="Header"/>
            <w:bidi w:val="0"/>
            <w:jc w:val="center"/>
          </w:pPr>
        </w:p>
      </w:tc>
      <w:tc>
        <w:tcPr>
          <w:tcW w:w="3005" w:type="dxa"/>
          <w:tcMar/>
        </w:tcPr>
        <w:p w:rsidR="27277103" w:rsidP="27277103" w:rsidRDefault="27277103" w14:paraId="1B741C0B" w14:textId="54F389A3">
          <w:pPr>
            <w:pStyle w:val="Header"/>
            <w:bidi w:val="0"/>
            <w:ind w:right="-115"/>
            <w:jc w:val="right"/>
          </w:pPr>
        </w:p>
      </w:tc>
    </w:tr>
  </w:tbl>
  <w:p w:rsidR="27277103" w:rsidP="27277103" w:rsidRDefault="27277103" w14:paraId="69AE3B21" w14:textId="755FA8F1">
    <w:pPr>
      <w:pStyle w:val="Footer"/>
      <w:bidi w:val="0"/>
    </w:pPr>
  </w:p>
</w:ftr>
</file>

<file path=word/header.xml><?xml version="1.0" encoding="utf-8"?>
<w:hd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7155"/>
    </w:tblGrid>
    <w:tr w:rsidR="27277103" w:rsidTr="27277103" w14:paraId="48649118">
      <w:trPr>
        <w:trHeight w:val="300"/>
      </w:trPr>
      <w:tc>
        <w:tcPr>
          <w:tcW w:w="3005" w:type="dxa"/>
          <w:tcMar/>
        </w:tcPr>
        <w:p w:rsidR="27277103" w:rsidP="27277103" w:rsidRDefault="27277103" w14:paraId="669C55C9" w14:textId="299BEF2F">
          <w:pPr>
            <w:pStyle w:val="Header"/>
            <w:bidi w:val="0"/>
            <w:jc w:val="center"/>
          </w:pPr>
        </w:p>
      </w:tc>
      <w:tc>
        <w:tcPr>
          <w:tcW w:w="7155" w:type="dxa"/>
          <w:tcMar/>
        </w:tcPr>
        <w:p w:rsidR="27277103" w:rsidP="27277103" w:rsidRDefault="27277103" w14:paraId="5B6C9BD4" w14:textId="38B019B9">
          <w:pPr>
            <w:pStyle w:val="Header"/>
            <w:bidi w:val="0"/>
            <w:ind w:left="-115" w:right="90"/>
            <w:jc w:val="right"/>
            <w:rPr>
              <w:rFonts w:ascii="Calibri" w:hAnsi="Calibri" w:eastAsia="Calibri" w:cs="Calibri"/>
              <w:b w:val="0"/>
              <w:bCs w:val="0"/>
              <w:i w:val="0"/>
              <w:iCs w:val="0"/>
              <w:caps w:val="0"/>
              <w:smallCaps w:val="0"/>
              <w:color w:val="808080" w:themeColor="background1" w:themeTint="FF" w:themeShade="80"/>
              <w:sz w:val="16"/>
              <w:szCs w:val="16"/>
            </w:rPr>
          </w:pPr>
          <w:r w:rsidRPr="27277103" w:rsidR="27277103">
            <w:rPr>
              <w:rFonts w:ascii="Calibri" w:hAnsi="Calibri" w:eastAsia="Calibri" w:cs="Calibri"/>
              <w:b w:val="0"/>
              <w:bCs w:val="0"/>
              <w:i w:val="0"/>
              <w:iCs w:val="0"/>
              <w:caps w:val="0"/>
              <w:smallCaps w:val="0"/>
              <w:color w:val="808080" w:themeColor="background1" w:themeTint="FF" w:themeShade="80"/>
              <w:sz w:val="16"/>
              <w:szCs w:val="16"/>
            </w:rPr>
            <w:t xml:space="preserve">Auditoria 1 – UnB 2026.2 | Suzano S.A. 2025 | PT </w:t>
          </w:r>
          <w:r w:rsidRPr="27277103" w:rsidR="27277103">
            <w:rPr>
              <w:rFonts w:ascii="Calibri" w:hAnsi="Calibri" w:eastAsia="Calibri" w:cs="Calibri"/>
              <w:b w:val="0"/>
              <w:bCs w:val="0"/>
              <w:i w:val="0"/>
              <w:iCs w:val="0"/>
              <w:caps w:val="0"/>
              <w:smallCaps w:val="0"/>
              <w:color w:val="808080" w:themeColor="background1" w:themeTint="FF" w:themeShade="80"/>
              <w:sz w:val="16"/>
              <w:szCs w:val="16"/>
            </w:rPr>
            <w:t>30</w:t>
          </w:r>
          <w:r w:rsidRPr="27277103" w:rsidR="27277103">
            <w:rPr>
              <w:rFonts w:ascii="Calibri" w:hAnsi="Calibri" w:eastAsia="Calibri" w:cs="Calibri"/>
              <w:b w:val="0"/>
              <w:bCs w:val="0"/>
              <w:i w:val="0"/>
              <w:iCs w:val="0"/>
              <w:caps w:val="0"/>
              <w:smallCaps w:val="0"/>
              <w:color w:val="808080" w:themeColor="background1" w:themeTint="FF" w:themeShade="80"/>
              <w:sz w:val="16"/>
              <w:szCs w:val="16"/>
            </w:rPr>
            <w:t>0</w:t>
          </w:r>
        </w:p>
      </w:tc>
    </w:tr>
  </w:tbl>
  <w:p w:rsidR="27277103" w:rsidP="27277103" w:rsidRDefault="27277103" w14:paraId="7CEC1A61" w14:textId="72DED17D">
    <w:pPr>
      <w:pStyle w:val="Header"/>
      <w:bidi w:val="0"/>
    </w:pPr>
  </w:p>
</w:hdr>
</file>

<file path=word/intelligence2.xml><?xml version="1.0" encoding="utf-8"?>
<int2:intelligence xmlns:int2="http://schemas.microsoft.com/office/intelligence/2020/intelligence">
  <int2:observations>
    <int2:textHash int2:hashCode="M76m736jlVIk7y" int2:id="yzMY4nFi">
      <int2:state int2:type="spell" int2:value="Rejected"/>
    </int2:textHash>
    <int2:textHash int2:hashCode="8DwKWcWUVO6iXM" int2:id="Kx86X3A9">
      <int2:state int2:type="spell" int2:value="Rejected"/>
    </int2:textHash>
    <int2:textHash int2:hashCode="bZDvwn/X14Ib86" int2:id="qUc8igRo">
      <int2:state int2:type="spell" int2:value="Rejected"/>
    </int2:textHash>
    <int2:textHash int2:hashCode="6kRAvZRxTk6FM0" int2:id="zOK7V4ab">
      <int2:state int2:type="spell" int2:value="Rejected"/>
    </int2:textHash>
    <int2:textHash int2:hashCode="aDbWvrpdGK3RWh" int2:id="D5uKkmOq">
      <int2:state int2:type="spell" int2:value="Rejected"/>
    </int2:textHash>
    <int2:textHash int2:hashCode="HKxczNDBNeCmo7" int2:id="4ZtIDvy3">
      <int2:state int2:type="spell" int2:value="Rejected"/>
    </int2:textHash>
    <int2:textHash int2:hashCode="bM4lz2eCVfDC4I" int2:id="5VI42hTp">
      <int2:state int2:type="spell" int2:value="Rejected"/>
    </int2:textHash>
    <int2:textHash int2:hashCode="jz11khmS9GYRcU" int2:id="Ybav2HBm">
      <int2:state int2:type="spell" int2:value="Rejected"/>
    </int2:textHash>
    <int2:textHash int2:hashCode="u46xfKsC+BLI1A" int2:id="EOdvPcP7">
      <int2:state int2:type="spell" int2:value="Rejected"/>
    </int2:textHash>
    <int2:textHash int2:hashCode="jZKIYoBOflOeg0" int2:id="oXsQnd2C">
      <int2:state int2:type="spell" int2:value="Rejected"/>
    </int2:textHash>
    <int2:textHash int2:hashCode="GFP9Qn0Iu5iRwc" int2:id="p7u2KCWd">
      <int2:state int2:type="spell" int2:value="Rejected"/>
    </int2:textHash>
    <int2:textHash int2:hashCode="T/dfgJV0acS2r1" int2:id="fY0yBU6r">
      <int2:state int2:type="spell" int2:value="Rejected"/>
    </int2:textHash>
    <int2:bookmark int2:bookmarkName="_Int_AtPLggde" int2:invalidationBookmarkName="" int2:hashCode="SohfuHjWMFzc9h" int2:id="BMU0DXM2">
      <int2:state int2:type="gram" int2:value="Rejected"/>
    </int2:bookmark>
    <int2:bookmark int2:bookmarkName="_Int_rpkpRZH2" int2:invalidationBookmarkName="" int2:hashCode="k1Jv7zJV71EgsR" int2:id="3z6r0OCh">
      <int2:state int2:type="gram" int2:value="Rejected"/>
    </int2:bookmark>
    <int2:bookmark int2:bookmarkName="_Int_4vk7kvs6" int2:invalidationBookmarkName="" int2:hashCode="6EFFUsVuhbVfN2" int2:id="J1XMU3Zn">
      <int2:state int2:type="gram" int2:value="Rejected"/>
    </int2:bookmark>
    <int2:bookmark int2:bookmarkName="_Int_z0MzMTnz" int2:invalidationBookmarkName="" int2:hashCode="V9LxqTRUiuWI44" int2:id="Hi09E65E">
      <int2:state int2:type="gram" int2:value="Rejected"/>
    </int2:bookmark>
    <int2:bookmark int2:bookmarkName="_Int_ib8lgMbm" int2:invalidationBookmarkName="" int2:hashCode="8CkoB/EwiQh7bu" int2:id="K3xnLwUF">
      <int2:state int2:type="gram" int2:value="Rejected"/>
    </int2:bookmark>
  </int2:observations>
  <int2:intelligenceSettings/>
</int2:intelligence>
</file>

<file path=word/numbering.xml><?xml version="1.0" encoding="utf-8"?>
<w:numbering xmlns:w="http://schemas.openxmlformats.org/wordprocessingml/2006/main">
  <w:abstractNum xmlns:w="http://schemas.openxmlformats.org/wordprocessingml/2006/main" w:abstractNumId="8">
    <w:nsid w:val="41ea7d4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–"/>
      <w:lvlJc w:val="left"/>
      <w:pPr>
        <w:ind w:left="400" w:hanging="24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">
    <w:nsid w:val="59c037d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–"/>
      <w:lvlJc w:val="left"/>
      <w:pPr>
        <w:ind w:left="400" w:hanging="24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">
    <w:nsid w:val="7f3a168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–"/>
      <w:lvlJc w:val="left"/>
      <w:pPr>
        <w:ind w:left="400" w:hanging="24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">
    <w:nsid w:val="3fa2546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fd1920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">
    <w:nsid w:val="32fafdf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59b5b4f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–"/>
      <w:lvlJc w:val="left"/>
      <w:pPr>
        <w:ind w:left="400" w:hanging="24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469af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•"/>
      <w:lvlJc w:val="left"/>
      <w:pPr>
        <w:ind w:left="500" w:hanging="2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8">
    <w:abstractNumId w:val="8"/>
  </w:num>
  <w:num w:numId="7">
    <w:abstractNumId w:val="7"/>
  </w:num>
  <w:num w:numId="6">
    <w:abstractNumId w:val="6"/>
  </w: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7ED20B83"/>
    <w:rsid w:val="011A83B6"/>
    <w:rsid w:val="01306683"/>
    <w:rsid w:val="01746230"/>
    <w:rsid w:val="0223C95E"/>
    <w:rsid w:val="022D2EA2"/>
    <w:rsid w:val="024C4755"/>
    <w:rsid w:val="027F62E5"/>
    <w:rsid w:val="038540D8"/>
    <w:rsid w:val="05184C4B"/>
    <w:rsid w:val="059CB6AA"/>
    <w:rsid w:val="063A4E05"/>
    <w:rsid w:val="06608DB5"/>
    <w:rsid w:val="073EEE6D"/>
    <w:rsid w:val="08AE989A"/>
    <w:rsid w:val="09673444"/>
    <w:rsid w:val="0ABBD582"/>
    <w:rsid w:val="0D4925F2"/>
    <w:rsid w:val="0D616FB3"/>
    <w:rsid w:val="0E30FB40"/>
    <w:rsid w:val="0E948883"/>
    <w:rsid w:val="12708081"/>
    <w:rsid w:val="131A14A3"/>
    <w:rsid w:val="134DD7FB"/>
    <w:rsid w:val="13C18680"/>
    <w:rsid w:val="13C45174"/>
    <w:rsid w:val="13EAC771"/>
    <w:rsid w:val="14BAA7E7"/>
    <w:rsid w:val="14E42F05"/>
    <w:rsid w:val="1883A56F"/>
    <w:rsid w:val="1884274B"/>
    <w:rsid w:val="18C6A329"/>
    <w:rsid w:val="19CD751C"/>
    <w:rsid w:val="19D6320C"/>
    <w:rsid w:val="1A8C2314"/>
    <w:rsid w:val="1A9002EE"/>
    <w:rsid w:val="1B1160CE"/>
    <w:rsid w:val="1BE28AC6"/>
    <w:rsid w:val="1C0D7C78"/>
    <w:rsid w:val="1C57F14B"/>
    <w:rsid w:val="1E0594DC"/>
    <w:rsid w:val="1E1A72D4"/>
    <w:rsid w:val="1E50F5FE"/>
    <w:rsid w:val="1E972531"/>
    <w:rsid w:val="2042C1AA"/>
    <w:rsid w:val="20611B13"/>
    <w:rsid w:val="22198A17"/>
    <w:rsid w:val="24005765"/>
    <w:rsid w:val="25529155"/>
    <w:rsid w:val="2668DAE6"/>
    <w:rsid w:val="271F7ECF"/>
    <w:rsid w:val="27277103"/>
    <w:rsid w:val="2AC5FBB5"/>
    <w:rsid w:val="2B2AD0CC"/>
    <w:rsid w:val="2D727077"/>
    <w:rsid w:val="2F627354"/>
    <w:rsid w:val="30B63283"/>
    <w:rsid w:val="310A644E"/>
    <w:rsid w:val="3144C377"/>
    <w:rsid w:val="31878D65"/>
    <w:rsid w:val="321D0DD1"/>
    <w:rsid w:val="32FF3506"/>
    <w:rsid w:val="3615BED1"/>
    <w:rsid w:val="362D2E0B"/>
    <w:rsid w:val="36BB4CB8"/>
    <w:rsid w:val="37702721"/>
    <w:rsid w:val="37EC1079"/>
    <w:rsid w:val="381A9377"/>
    <w:rsid w:val="39068857"/>
    <w:rsid w:val="3930D397"/>
    <w:rsid w:val="3A534784"/>
    <w:rsid w:val="3A5EA17B"/>
    <w:rsid w:val="3ADE138A"/>
    <w:rsid w:val="3B21F213"/>
    <w:rsid w:val="3C38817C"/>
    <w:rsid w:val="3E1486F0"/>
    <w:rsid w:val="3E6E76E0"/>
    <w:rsid w:val="3E7A4EB2"/>
    <w:rsid w:val="3F2E0EE4"/>
    <w:rsid w:val="437E3339"/>
    <w:rsid w:val="44E2F39A"/>
    <w:rsid w:val="44E75B3E"/>
    <w:rsid w:val="4571A110"/>
    <w:rsid w:val="458D3F8A"/>
    <w:rsid w:val="4747FE95"/>
    <w:rsid w:val="481BC9E5"/>
    <w:rsid w:val="48B878B7"/>
    <w:rsid w:val="499A6DA5"/>
    <w:rsid w:val="4A6CCC25"/>
    <w:rsid w:val="4B61825F"/>
    <w:rsid w:val="4C2BCC65"/>
    <w:rsid w:val="4C778481"/>
    <w:rsid w:val="4C792232"/>
    <w:rsid w:val="4CB49A8C"/>
    <w:rsid w:val="4DEDACF9"/>
    <w:rsid w:val="4F27EE36"/>
    <w:rsid w:val="4FD42890"/>
    <w:rsid w:val="50E19BE1"/>
    <w:rsid w:val="51672B92"/>
    <w:rsid w:val="518F9E19"/>
    <w:rsid w:val="51DA259B"/>
    <w:rsid w:val="51DE326D"/>
    <w:rsid w:val="5344D2F2"/>
    <w:rsid w:val="54244B1B"/>
    <w:rsid w:val="542EB4C9"/>
    <w:rsid w:val="56163189"/>
    <w:rsid w:val="57801450"/>
    <w:rsid w:val="58225285"/>
    <w:rsid w:val="5833D511"/>
    <w:rsid w:val="5A474709"/>
    <w:rsid w:val="5B2C69A3"/>
    <w:rsid w:val="5BC5AA9B"/>
    <w:rsid w:val="5C58FB2D"/>
    <w:rsid w:val="5C9C4987"/>
    <w:rsid w:val="5D2882FE"/>
    <w:rsid w:val="5D2931F0"/>
    <w:rsid w:val="5E2321B4"/>
    <w:rsid w:val="5E2D2769"/>
    <w:rsid w:val="5F4BBD12"/>
    <w:rsid w:val="5FEDE9D1"/>
    <w:rsid w:val="6046D935"/>
    <w:rsid w:val="60738780"/>
    <w:rsid w:val="60DB19B1"/>
    <w:rsid w:val="61C2A11A"/>
    <w:rsid w:val="61C346DF"/>
    <w:rsid w:val="62FF6043"/>
    <w:rsid w:val="63205F1C"/>
    <w:rsid w:val="632D14A5"/>
    <w:rsid w:val="6424C402"/>
    <w:rsid w:val="656EBC66"/>
    <w:rsid w:val="676B3C17"/>
    <w:rsid w:val="68147977"/>
    <w:rsid w:val="68156EEA"/>
    <w:rsid w:val="6988F2A9"/>
    <w:rsid w:val="6A4994F7"/>
    <w:rsid w:val="6AAD1B46"/>
    <w:rsid w:val="6ADDB7AE"/>
    <w:rsid w:val="6B3C6FAB"/>
    <w:rsid w:val="6C6BB954"/>
    <w:rsid w:val="6C76A16F"/>
    <w:rsid w:val="6CD9F37B"/>
    <w:rsid w:val="6D5E6689"/>
    <w:rsid w:val="6DCE8907"/>
    <w:rsid w:val="6E8E8995"/>
    <w:rsid w:val="6F10F671"/>
    <w:rsid w:val="7001EE5C"/>
    <w:rsid w:val="7001EE5C"/>
    <w:rsid w:val="70C8A8D8"/>
    <w:rsid w:val="7165B74A"/>
    <w:rsid w:val="71D6414C"/>
    <w:rsid w:val="727407FA"/>
    <w:rsid w:val="73E91AE4"/>
    <w:rsid w:val="759CB2A2"/>
    <w:rsid w:val="7641FD9E"/>
    <w:rsid w:val="77026C05"/>
    <w:rsid w:val="78309E6D"/>
    <w:rsid w:val="78A13169"/>
    <w:rsid w:val="7980DA60"/>
    <w:rsid w:val="7AECFA50"/>
    <w:rsid w:val="7BA0699E"/>
    <w:rsid w:val="7BB5E64C"/>
    <w:rsid w:val="7BDA1864"/>
    <w:rsid w:val="7C8D4AD5"/>
    <w:rsid w:val="7C9284D6"/>
    <w:rsid w:val="7DB7A68F"/>
    <w:rsid w:val="7E62C435"/>
    <w:rsid w:val="7E76A2F3"/>
    <w:rsid w:val="7ED20B83"/>
    <w:rsid w:val="7EF7B6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48840C"/>
  <w15:chartTrackingRefBased/>
  <w15:docId w15:val="{AE9EA3DC-B2E8-448C-B859-C51B310DFDE5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pt-B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uiPriority w:val="0"/>
    <w:name w:val="Normal"/>
    <w:qFormat/>
    <w:rsid w:val="27277103"/>
    <w:rPr>
      <w:noProof w:val="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ListParagraph">
    <w:uiPriority w:val="34"/>
    <w:name w:val="List Paragraph"/>
    <w:basedOn w:val="Normal"/>
    <w:qFormat/>
    <w:rsid w:val="27277103"/>
    <w:pPr>
      <w:spacing/>
      <w:ind w:left="720"/>
      <w:contextualSpacing/>
    </w:pPr>
  </w:style>
  <w:style w:type="paragraph" w:styleId="Header">
    <w:uiPriority w:val="99"/>
    <w:name w:val="header"/>
    <w:basedOn w:val="Normal"/>
    <w:unhideWhenUsed/>
    <w:rsid w:val="27277103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Normal"/>
    <w:unhideWhenUsed/>
    <w:rsid w:val="27277103"/>
    <w:pPr>
      <w:tabs>
        <w:tab w:val="center" w:leader="none" w:pos="4680"/>
        <w:tab w:val="right" w:leader="none" w:pos="9360"/>
      </w:tabs>
      <w:spacing w:after="0" w:line="240" w:lineRule="auto"/>
    </w:pPr>
  </w:style>
  <w:style w:type="character" w:styleId="Hyperlink">
    <w:uiPriority w:val="99"/>
    <w:name w:val="Hyperlink"/>
    <w:basedOn w:val="DefaultParagraphFont"/>
    <w:unhideWhenUsed/>
    <w:rsid w:val="27277103"/>
    <w:rPr>
      <w:color w:val="467886"/>
      <w:u w:val="single"/>
    </w:r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hyperlink" Target="https://www2.cfc.org.br/sisweb/sre/detalhes_sre.aspx?Codigo=2016/NBCTA300(R1" TargetMode="External" Id="Rdfb468d63ff04f5c" /><Relationship Type="http://schemas.openxmlformats.org/officeDocument/2006/relationships/hyperlink" Target="https://www.rad.cvm.gov.br/ENETWEB/frmGerenciaPaginaFRE.aspx?NumeroSequencialDocumento=154674&amp;CodigoTipoInstituicao=1" TargetMode="External" Id="Ra1e4c88b4aa44c5d" /><Relationship Type="http://schemas.openxmlformats.org/officeDocument/2006/relationships/hyperlink" Target="https://www2.cfc.org.br/sisweb/sre/detalhes_sre.aspx?Codigo=2016/NBCTA300(R1" TargetMode="External" Id="R36037d70483d4279" /><Relationship Type="http://schemas.openxmlformats.org/officeDocument/2006/relationships/header" Target="header.xml" Id="R5496897c962e4e99" /><Relationship Type="http://schemas.openxmlformats.org/officeDocument/2006/relationships/footer" Target="footer.xml" Id="Rc96e277d23e44808" /><Relationship Type="http://schemas.microsoft.com/office/2020/10/relationships/intelligence" Target="intelligence2.xml" Id="R4d33cbcd90014e1c" /><Relationship Type="http://schemas.openxmlformats.org/officeDocument/2006/relationships/numbering" Target="numbering.xml" Id="Rb08975417ca54472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2026-10-19T18:31:55.3078925Z</dcterms:created>
  <dcterms:modified xsi:type="dcterms:W3CDTF">2026-10-20T19:49:07.7170400Z</dcterms:modified>
  <dc:creator>Gabriela Aparecida Parreira</dc:creator>
  <lastModifiedBy>Gabriela Aparecida Parreira</lastModifiedBy>
</coreProperties>
</file>