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ADDB7AE" wp14:paraId="62728C74" wp14:textId="784C3242">
      <w:pPr>
        <w:bidi w:val="0"/>
        <w:spacing w:after="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5"/>
          <w:szCs w:val="15"/>
        </w:rPr>
      </w:pPr>
      <w:r w:rsidRPr="6ADDB7AE" w:rsidR="4193F0B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5"/>
          <w:szCs w:val="15"/>
        </w:rPr>
        <w:t xml:space="preserve">DOSSIÊ DE AUDITORIA </w:t>
      </w:r>
      <w:r w:rsidRPr="6ADDB7AE" w:rsidR="4193F0B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5"/>
          <w:szCs w:val="15"/>
        </w:rPr>
        <w:t>· SUZANO</w:t>
      </w:r>
      <w:r w:rsidRPr="6ADDB7AE" w:rsidR="4193F0B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5"/>
          <w:szCs w:val="15"/>
        </w:rPr>
        <w:t xml:space="preserve"> S.A.  · EXERCÍCIO 2025</w:t>
      </w:r>
    </w:p>
    <w:p xmlns:wp14="http://schemas.microsoft.com/office/word/2010/wordml" w:rsidP="6ADDB7AE" wp14:paraId="7E1935EC" wp14:textId="0897DB4B">
      <w:pPr>
        <w:bidi w:val="0"/>
        <w:spacing w:after="20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34"/>
          <w:szCs w:val="34"/>
        </w:rPr>
      </w:pP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</w:rPr>
        <w:t>PT 315</w:t>
      </w:r>
      <w:r w:rsidRPr="6ADDB7AE" w:rsidR="4193F0B7">
        <w:rPr>
          <w:rFonts w:ascii="Arial" w:hAnsi="Arial" w:eastAsia="Arial" w:cs="Arial" w:asciiTheme="minorAscii" w:hAnsiTheme="minorAscii" w:eastAsiaTheme="minorAscii" w:cstheme="minorBidi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  <w:lang w:eastAsia="en-US" w:bidi="ar-SA"/>
        </w:rPr>
        <w:t xml:space="preserve"> - </w:t>
      </w:r>
      <w:r w:rsidRPr="6ADDB7AE" w:rsidR="4193F0B7">
        <w:rPr>
          <w:rFonts w:ascii="Arial" w:hAnsi="Arial" w:eastAsia="Arial" w:cs="Arial" w:asciiTheme="minorAscii" w:hAnsiTheme="minorAscii" w:eastAsiaTheme="minorAscii" w:cstheme="minorBidi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  <w:lang w:eastAsia="en-US" w:bidi="ar-SA"/>
        </w:rPr>
        <w:t>Identificação</w:t>
      </w:r>
      <w:r w:rsidRPr="6ADDB7AE" w:rsidR="4193F0B7">
        <w:rPr>
          <w:rFonts w:ascii="Arial" w:hAnsi="Arial" w:eastAsia="Arial" w:cs="Arial" w:asciiTheme="minorAscii" w:hAnsiTheme="minorAscii" w:eastAsiaTheme="minorAscii" w:cstheme="minorBidi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  <w:lang w:eastAsia="en-US" w:bidi="ar-SA"/>
        </w:rPr>
        <w:t xml:space="preserve"> e </w:t>
      </w:r>
      <w:r w:rsidRPr="6ADDB7AE" w:rsidR="4193F0B7">
        <w:rPr>
          <w:rFonts w:ascii="Arial" w:hAnsi="Arial" w:eastAsia="Arial" w:cs="Arial" w:asciiTheme="minorAscii" w:hAnsiTheme="minorAscii" w:eastAsiaTheme="minorAscii" w:cstheme="minorBidi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  <w:lang w:eastAsia="en-US" w:bidi="ar-SA"/>
        </w:rPr>
        <w:t>avaliação</w:t>
      </w:r>
      <w:r w:rsidRPr="6ADDB7AE" w:rsidR="4193F0B7">
        <w:rPr>
          <w:rFonts w:ascii="Arial" w:hAnsi="Arial" w:eastAsia="Arial" w:cs="Arial" w:asciiTheme="minorAscii" w:hAnsiTheme="minorAscii" w:eastAsiaTheme="minorAscii" w:cstheme="minorBidi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  <w:lang w:eastAsia="en-US" w:bidi="ar-SA"/>
        </w:rPr>
        <w:t xml:space="preserve"> dos </w:t>
      </w:r>
      <w:r w:rsidRPr="6ADDB7AE" w:rsidR="4193F0B7">
        <w:rPr>
          <w:rFonts w:ascii="Arial" w:hAnsi="Arial" w:eastAsia="Arial" w:cs="Arial" w:asciiTheme="minorAscii" w:hAnsiTheme="minorAscii" w:eastAsiaTheme="minorAscii" w:cstheme="minorBidi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  <w:lang w:eastAsia="en-US" w:bidi="ar-SA"/>
        </w:rPr>
        <w:t>riscos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590"/>
        <w:gridCol w:w="4395"/>
        <w:gridCol w:w="3630"/>
      </w:tblGrid>
      <w:tr w:rsidR="6ADDB7AE" w:rsidTr="6ADDB7AE" w14:paraId="7895DC09">
        <w:trPr>
          <w:trHeight w:val="300"/>
        </w:trPr>
        <w:tc>
          <w:tcPr>
            <w:tcW w:w="1590" w:type="dxa"/>
            <w:tcBorders>
              <w:top w:val="nil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33ABD9D" w14:textId="199BC15F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CÓDIGO</w:t>
            </w:r>
          </w:p>
          <w:p w:rsidR="6ADDB7AE" w:rsidP="6ADDB7AE" w:rsidRDefault="6ADDB7AE" w14:paraId="4FD315B2" w14:textId="19B8008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PT 315</w:t>
            </w:r>
          </w:p>
        </w:tc>
        <w:tc>
          <w:tcPr>
            <w:tcW w:w="4395" w:type="dxa"/>
            <w:tcBorders>
              <w:top w:val="nil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14A936A5" w14:textId="0A40433D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ENTIDADE</w:t>
            </w:r>
          </w:p>
          <w:p w:rsidR="6ADDB7AE" w:rsidP="6ADDB7AE" w:rsidRDefault="6ADDB7AE" w14:paraId="52B57D12" w14:textId="27932CA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Suzano S.A. (B3: SUZB3 · NYSE: SUZ)</w:t>
            </w:r>
          </w:p>
        </w:tc>
        <w:tc>
          <w:tcPr>
            <w:tcW w:w="3630" w:type="dxa"/>
            <w:tcBorders>
              <w:top w:val="nil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E592120" w14:textId="0A0EC903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EXERCÍCIO</w:t>
            </w:r>
          </w:p>
          <w:p w:rsidR="6ADDB7AE" w:rsidP="6ADDB7AE" w:rsidRDefault="6ADDB7AE" w14:paraId="6DFC00B3" w14:textId="4B197F0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31/12/2025 (comparativo 31/12/2024)</w:t>
            </w:r>
          </w:p>
        </w:tc>
      </w:tr>
      <w:tr w:rsidR="6ADDB7AE" w:rsidTr="6ADDB7AE" w14:paraId="7B9019F3">
        <w:trPr>
          <w:trHeight w:val="300"/>
        </w:trPr>
        <w:tc>
          <w:tcPr>
            <w:tcW w:w="5985" w:type="dxa"/>
            <w:gridSpan w:val="2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6571A401" w14:textId="1403C6AF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NORMA</w:t>
            </w:r>
          </w:p>
          <w:p w:rsidR="6ADDB7AE" w:rsidP="6ADDB7AE" w:rsidRDefault="6ADDB7AE" w14:paraId="3F4329CB" w14:textId="2734DBD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NBC TA 315 (R2) – Identificação e avaliação dos riscos de distorção relevante</w:t>
            </w:r>
          </w:p>
        </w:tc>
        <w:tc>
          <w:tcPr>
            <w:tcW w:w="36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35313DE" w14:textId="0DABDD3D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ITENS UTILIZADOS</w:t>
            </w:r>
          </w:p>
          <w:p w:rsidR="6ADDB7AE" w:rsidP="6ADDB7AE" w:rsidRDefault="6ADDB7AE" w14:paraId="0B2C7169" w14:textId="24E0956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12(f)(l), 19–27, 28–34, 38; A190; Apêndices 2, 3 e 5</w:t>
            </w:r>
          </w:p>
        </w:tc>
      </w:tr>
      <w:tr w:rsidR="6ADDB7AE" w:rsidTr="6ADDB7AE" w14:paraId="0D9185C7">
        <w:trPr>
          <w:trHeight w:val="300"/>
        </w:trPr>
        <w:tc>
          <w:tcPr>
            <w:tcW w:w="5985" w:type="dxa"/>
            <w:gridSpan w:val="2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25CDE6B" w14:textId="6E9038BA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VERSÃO CONSULTADA</w:t>
            </w:r>
          </w:p>
          <w:p w:rsidR="6ADDB7AE" w:rsidP="6ADDB7AE" w:rsidRDefault="6ADDB7AE" w14:paraId="240C4D88" w14:textId="6493B823">
            <w:pPr>
              <w:bidi w:val="0"/>
              <w:spacing w:after="0" w:line="252" w:lineRule="auto"/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 xml:space="preserve">NBC TA 315 (R2) – CFC </w:t>
            </w:r>
            <w:hyperlink r:id="R89c08917331e4c42">
              <w:r w:rsidRPr="6ADDB7AE" w:rsidR="3F6C80E0">
                <w:rPr>
                  <w:rStyle w:val="Hyperlink"/>
                  <w:rFonts w:ascii="Arial" w:hAnsi="Arial" w:eastAsia="Arial" w:cs="Arial"/>
                  <w:b w:val="0"/>
                  <w:bCs w:val="0"/>
                  <w:i w:val="0"/>
                  <w:iCs w:val="0"/>
                  <w:sz w:val="18"/>
                  <w:szCs w:val="18"/>
                </w:rPr>
                <w:t>NBC 315</w:t>
              </w:r>
            </w:hyperlink>
          </w:p>
        </w:tc>
        <w:tc>
          <w:tcPr>
            <w:tcW w:w="36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100404E" w14:textId="1D481AF9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4"/>
                <w:szCs w:val="14"/>
              </w:rPr>
              <w:t>STATUS</w:t>
            </w:r>
          </w:p>
          <w:p w:rsidR="6ADDB7AE" w:rsidP="6ADDB7AE" w:rsidRDefault="6ADDB7AE" w14:paraId="28240388" w14:textId="08A2383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8"/>
                <w:szCs w:val="18"/>
              </w:rPr>
              <w:t>Realizado com evidência pública; controles não testados</w:t>
            </w:r>
          </w:p>
        </w:tc>
      </w:tr>
    </w:tbl>
    <w:p xmlns:wp14="http://schemas.microsoft.com/office/word/2010/wordml" w:rsidP="6ADDB7AE" wp14:paraId="786A55BD" wp14:textId="5E139729">
      <w:pPr>
        <w:bidi w:val="0"/>
        <w:spacing w:after="10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</w:p>
    <w:p xmlns:wp14="http://schemas.microsoft.com/office/word/2010/wordml" w:rsidP="6ADDB7AE" wp14:paraId="0D2670FC" wp14:textId="34AEE089">
      <w:pPr>
        <w:bidi w:val="0"/>
        <w:spacing w:after="0" w:line="264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7"/>
          <w:szCs w:val="17"/>
        </w:rPr>
      </w:pP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Natureza do PT. </w:t>
      </w:r>
      <w:r w:rsidRPr="6ADDB7AE" w:rsidR="4193F0B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7"/>
          <w:szCs w:val="17"/>
        </w:rPr>
        <w:t>Trabalho acadêmico com documentos públicos; não constitui opinião de auditoria. As avaliações de risco são julgamento do preparador. Sem dados simulados. Valores consolidados em R$ milhões; materialidade global de R$ 250,6 mi (PT 320).</w:t>
      </w:r>
    </w:p>
    <w:p xmlns:wp14="http://schemas.microsoft.com/office/word/2010/wordml" w:rsidP="6ADDB7AE" wp14:paraId="181BDA0E" wp14:textId="6938DD0A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1   </w:t>
      </w: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OBJETIVO E OBJETO</w:t>
      </w:r>
    </w:p>
    <w:p xmlns:wp14="http://schemas.microsoft.com/office/word/2010/wordml" w:rsidP="6ADDB7AE" wp14:paraId="34F5DE9D" wp14:textId="07CB7213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6ADDB7AE" w:rsidR="4193F0B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Entender a Suzano, seu ambiente, a estrutura de relatório financeiro, a TI e os controles internos (itens 19–27), e identificar e avaliar os riscos de distorção relevante nas demonstrações como um todo e por conta e afirmação, destacando os riscos significativos (itens 28–34).</w:t>
      </w:r>
    </w:p>
    <w:p xmlns:wp14="http://schemas.microsoft.com/office/word/2010/wordml" w:rsidP="6ADDB7AE" wp14:paraId="0DDC6DC3" wp14:textId="3212F2DA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2   </w:t>
      </w: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FONTES E CRITÉRIOS</w:t>
      </w:r>
    </w:p>
    <w:p xmlns:wp14="http://schemas.microsoft.com/office/word/2010/wordml" w:rsidP="6ADDB7AE" wp14:paraId="18103C3A" wp14:textId="0984CD53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6ADDB7AE" w:rsidR="4193F0B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População: todas as contas e divulgações relevantes das demonstrações consolidadas de 2025. Critério: contas acima da materialidade global ou com risco qualitativo relevante.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540"/>
        <w:gridCol w:w="5895"/>
        <w:gridCol w:w="1245"/>
        <w:gridCol w:w="1935"/>
      </w:tblGrid>
      <w:tr w:rsidR="6ADDB7AE" w:rsidTr="6ADDB7AE" w14:paraId="5111AAD8">
        <w:trPr>
          <w:trHeight w:val="300"/>
        </w:trPr>
        <w:tc>
          <w:tcPr>
            <w:tcW w:w="54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148B69B" w14:textId="3234661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Ref.</w:t>
            </w:r>
          </w:p>
        </w:tc>
        <w:tc>
          <w:tcPr>
            <w:tcW w:w="58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4BC56DE" w14:textId="0D5E3F2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Documento e endereço</w:t>
            </w:r>
          </w:p>
        </w:tc>
        <w:tc>
          <w:tcPr>
            <w:tcW w:w="124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33731BC" w14:textId="1521595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Acesso</w:t>
            </w:r>
          </w:p>
        </w:tc>
        <w:tc>
          <w:tcPr>
            <w:tcW w:w="19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85FFD1C" w14:textId="7D99580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Páginas</w:t>
            </w:r>
          </w:p>
        </w:tc>
      </w:tr>
      <w:tr w:rsidR="6ADDB7AE" w:rsidTr="6ADDB7AE" w14:paraId="5C6649AE">
        <w:trPr>
          <w:trHeight w:val="300"/>
        </w:trPr>
        <w:tc>
          <w:tcPr>
            <w:tcW w:w="54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24C5644" w14:textId="46D54F3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F1</w:t>
            </w:r>
          </w:p>
        </w:tc>
        <w:tc>
          <w:tcPr>
            <w:tcW w:w="58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190E9855" w14:textId="7C93046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 xml:space="preserve">DFP 31/12/2025, versão 1 – CVM/RAD: </w:t>
            </w:r>
            <w:hyperlink r:id="R373cf0c49cd14391">
              <w:r w:rsidRPr="6ADDB7AE" w:rsidR="79D8656B">
                <w:rPr>
                  <w:rStyle w:val="Hyperlink"/>
                  <w:rFonts w:ascii="Arial" w:hAnsi="Arial" w:eastAsia="Arial" w:cs="Arial"/>
                  <w:b w:val="0"/>
                  <w:bCs w:val="0"/>
                  <w:i w:val="0"/>
                  <w:iCs w:val="0"/>
                  <w:sz w:val="18"/>
                  <w:szCs w:val="18"/>
                </w:rPr>
                <w:t>DFP</w:t>
              </w:r>
            </w:hyperlink>
          </w:p>
        </w:tc>
        <w:tc>
          <w:tcPr>
            <w:tcW w:w="124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79D8656B" w:rsidP="6ADDB7AE" w:rsidRDefault="79D8656B" w14:paraId="037F5967" w14:textId="32AA767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79D8656B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20/10/2026</w:t>
            </w:r>
          </w:p>
        </w:tc>
        <w:tc>
          <w:tcPr>
            <w:tcW w:w="193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C2B1A3E" w14:textId="5E28971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p. 25–30, 40–49, 100, 109, 115–116, 149, 161, 166, 190, 197–204</w:t>
            </w:r>
          </w:p>
        </w:tc>
      </w:tr>
      <w:tr w:rsidR="6ADDB7AE" w:rsidTr="6ADDB7AE" w14:paraId="566FF446">
        <w:trPr>
          <w:trHeight w:val="300"/>
        </w:trPr>
        <w:tc>
          <w:tcPr>
            <w:tcW w:w="54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8727402" w14:textId="15ABCC7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F2</w:t>
            </w:r>
          </w:p>
        </w:tc>
        <w:tc>
          <w:tcPr>
            <w:tcW w:w="58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68737538" w14:textId="675A9AE1">
            <w:pPr>
              <w:bidi w:val="0"/>
              <w:spacing w:after="0" w:line="252" w:lineRule="auto"/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NBC TA 315 (R2) – CFC</w:t>
            </w: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 xml:space="preserve"> </w:t>
            </w:r>
            <w:hyperlink r:id="Re2bbc55e003a41c6">
              <w:r w:rsidRPr="6ADDB7AE" w:rsidR="1E2C74FD">
                <w:rPr>
                  <w:rStyle w:val="Hyperlink"/>
                  <w:rFonts w:ascii="Arial" w:hAnsi="Arial" w:eastAsia="Arial" w:cs="Arial"/>
                  <w:b w:val="0"/>
                  <w:bCs w:val="0"/>
                  <w:i w:val="0"/>
                  <w:iCs w:val="0"/>
                  <w:sz w:val="18"/>
                  <w:szCs w:val="18"/>
                </w:rPr>
                <w:t>NBC TA 315</w:t>
              </w:r>
            </w:hyperlink>
          </w:p>
        </w:tc>
        <w:tc>
          <w:tcPr>
            <w:tcW w:w="124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E53BBBB" w14:textId="1B12F2D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20/10/2026</w:t>
            </w:r>
          </w:p>
        </w:tc>
        <w:tc>
          <w:tcPr>
            <w:tcW w:w="193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ADCDE1C" w14:textId="2681A66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Itens 12, 19–38, A190</w:t>
            </w:r>
          </w:p>
        </w:tc>
      </w:tr>
    </w:tbl>
    <w:p xmlns:wp14="http://schemas.microsoft.com/office/word/2010/wordml" w:rsidP="6ADDB7AE" wp14:paraId="4B9ADDD1" wp14:textId="508CDCE5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3   </w:t>
      </w: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ENTENDIMENTO DA ENTIDADE E DO AMBIENTE (ITENS 19–22)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995"/>
        <w:gridCol w:w="6225"/>
        <w:gridCol w:w="1395"/>
      </w:tblGrid>
      <w:tr w:rsidR="6ADDB7AE" w:rsidTr="6ADDB7AE" w14:paraId="5F46E402">
        <w:trPr>
          <w:trHeight w:val="300"/>
        </w:trPr>
        <w:tc>
          <w:tcPr>
            <w:tcW w:w="19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2830DE2" w14:textId="6DFF7A3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Aspecto</w:t>
            </w:r>
          </w:p>
        </w:tc>
        <w:tc>
          <w:tcPr>
            <w:tcW w:w="622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3E11BB0" w14:textId="6EC74EA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Situação da Suzano em 2025</w:t>
            </w:r>
          </w:p>
        </w:tc>
        <w:tc>
          <w:tcPr>
            <w:tcW w:w="13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4F87ABA" w14:textId="7C32E4C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Fonte</w:t>
            </w:r>
          </w:p>
        </w:tc>
      </w:tr>
      <w:tr w:rsidR="6ADDB7AE" w:rsidTr="6ADDB7AE" w14:paraId="2193DC1C">
        <w:trPr>
          <w:trHeight w:val="300"/>
        </w:trPr>
        <w:tc>
          <w:tcPr>
            <w:tcW w:w="19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2AA2BA4" w14:textId="4BBD7E5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Atividade e segmentos</w:t>
            </w:r>
          </w:p>
        </w:tc>
        <w:tc>
          <w:tcPr>
            <w:tcW w:w="622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A8CD728" w14:textId="5183FB4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 xml:space="preserve">Celulose de eucalipto (75% da receita) e papel, incluindo papelcartão e </w:t>
            </w:r>
            <w:r w:rsidRPr="6ADDB7AE" w:rsidR="6ADDB7AE">
              <w:rPr>
                <w:rFonts w:ascii="Arial" w:hAnsi="Arial" w:eastAsia="Arial" w:cs="Arial"/>
                <w:b w:val="0"/>
                <w:bCs w:val="0"/>
                <w:i w:val="1"/>
                <w:iCs w:val="1"/>
                <w:color w:val="262626" w:themeColor="text1" w:themeTint="D9" w:themeShade="FF"/>
                <w:sz w:val="17"/>
                <w:szCs w:val="17"/>
              </w:rPr>
              <w:t>tissue</w:t>
            </w: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 xml:space="preserve"> (25%)</w:t>
            </w:r>
          </w:p>
        </w:tc>
        <w:tc>
          <w:tcPr>
            <w:tcW w:w="13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3346D47" w14:textId="7C32CCE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F1 p. 190</w:t>
            </w:r>
          </w:p>
        </w:tc>
      </w:tr>
      <w:tr w:rsidR="6ADDB7AE" w:rsidTr="6ADDB7AE" w14:paraId="3FAE4E8B">
        <w:trPr>
          <w:trHeight w:val="300"/>
        </w:trPr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41AA1D5" w14:textId="0047718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Mercados</w:t>
            </w:r>
          </w:p>
        </w:tc>
        <w:tc>
          <w:tcPr>
            <w:tcW w:w="62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3A0F2572" w14:textId="65F9C83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82% da receita vem do exterior: Ásia (36%), Europa (22%) e América do Norte (20%); China responde por 39% da receita externa de celulose</w:t>
            </w:r>
          </w:p>
        </w:tc>
        <w:tc>
          <w:tcPr>
            <w:tcW w:w="13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EA25A97" w14:textId="27BDCF5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F1 p. 190</w:t>
            </w:r>
          </w:p>
        </w:tc>
      </w:tr>
      <w:tr w:rsidR="6ADDB7AE" w:rsidTr="6ADDB7AE" w14:paraId="11031125">
        <w:trPr>
          <w:trHeight w:val="300"/>
        </w:trPr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DAAE9F8" w14:textId="211F2B7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Estrutura do grupo</w:t>
            </w:r>
          </w:p>
        </w:tc>
        <w:tc>
          <w:tcPr>
            <w:tcW w:w="62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CBAB6BF" w14:textId="14A8B9A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 xml:space="preserve">Controladas no Brasil e em mais de 10 países; Suzano </w:t>
            </w:r>
            <w:r w:rsidRPr="6ADDB7AE" w:rsidR="6ADDB7AE">
              <w:rPr>
                <w:rFonts w:ascii="Arial" w:hAnsi="Arial" w:eastAsia="Arial" w:cs="Arial"/>
                <w:b w:val="0"/>
                <w:bCs w:val="0"/>
                <w:i w:val="1"/>
                <w:iCs w:val="1"/>
                <w:color w:val="262626" w:themeColor="text1" w:themeTint="D9" w:themeShade="FF"/>
                <w:sz w:val="17"/>
                <w:szCs w:val="17"/>
              </w:rPr>
              <w:t>Packaging</w:t>
            </w: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 xml:space="preserve"> (EUA), adquirida em out/2024, teve o primeiro ano completo</w:t>
            </w:r>
          </w:p>
        </w:tc>
        <w:tc>
          <w:tcPr>
            <w:tcW w:w="13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12C8187" w14:textId="027721A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F1 p. 100, 190</w:t>
            </w:r>
          </w:p>
        </w:tc>
      </w:tr>
      <w:tr w:rsidR="6ADDB7AE" w:rsidTr="6ADDB7AE" w14:paraId="07C9136A">
        <w:trPr>
          <w:trHeight w:val="300"/>
        </w:trPr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B390F21" w14:textId="598E9BC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Financiamento</w:t>
            </w:r>
          </w:p>
        </w:tc>
        <w:tc>
          <w:tcPr>
            <w:tcW w:w="62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AF346C5" w14:textId="62946DA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Dívida bruta de R$ 94,8 bi, grande parte em dólar; sem cláusulas financeiras restritivas (</w:t>
            </w:r>
            <w:r w:rsidRPr="6ADDB7AE" w:rsidR="6ADDB7AE">
              <w:rPr>
                <w:rFonts w:ascii="Arial" w:hAnsi="Arial" w:eastAsia="Arial" w:cs="Arial"/>
                <w:b w:val="0"/>
                <w:bCs w:val="0"/>
                <w:i w:val="1"/>
                <w:iCs w:val="1"/>
                <w:color w:val="262626" w:themeColor="text1" w:themeTint="D9" w:themeShade="FF"/>
                <w:sz w:val="17"/>
                <w:szCs w:val="17"/>
              </w:rPr>
              <w:t>covenants</w:t>
            </w: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)</w:t>
            </w:r>
          </w:p>
        </w:tc>
        <w:tc>
          <w:tcPr>
            <w:tcW w:w="13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76CFC28" w14:textId="6213BF0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F1 p. 27, 166</w:t>
            </w:r>
          </w:p>
        </w:tc>
      </w:tr>
      <w:tr w:rsidR="6ADDB7AE" w:rsidTr="6ADDB7AE" w14:paraId="110B3879">
        <w:trPr>
          <w:trHeight w:val="300"/>
        </w:trPr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146AC679" w14:textId="43FD228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Fatos do período</w:t>
            </w:r>
          </w:p>
        </w:tc>
        <w:tc>
          <w:tcPr>
            <w:tcW w:w="62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E5E6504" w14:textId="00D369F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Acordo para adquirir 51% de joint venture de tissue com a Kimberly-Clark (conclusão prevista para 2026); permuta de 18 milhões de m³ de madeira em pé; tarifas dos EUA e queda do preço da celulose</w:t>
            </w:r>
          </w:p>
        </w:tc>
        <w:tc>
          <w:tcPr>
            <w:tcW w:w="13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1E2695B6" w14:textId="56EB24A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F1 p. 40</w:t>
            </w:r>
          </w:p>
        </w:tc>
      </w:tr>
      <w:tr w:rsidR="6ADDB7AE" w:rsidTr="6ADDB7AE" w14:paraId="2EB05D7A">
        <w:trPr>
          <w:trHeight w:val="300"/>
        </w:trPr>
        <w:tc>
          <w:tcPr>
            <w:tcW w:w="19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9312A72" w14:textId="209087B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Estrutura de relatório</w:t>
            </w:r>
          </w:p>
        </w:tc>
        <w:tc>
          <w:tcPr>
            <w:tcW w:w="622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0AEB4A5" w14:textId="5C2E29B2">
            <w:pPr>
              <w:pStyle w:val="Normal"/>
              <w:suppressLineNumbers w:val="0"/>
              <w:bidi w:val="0"/>
              <w:spacing w:before="0" w:beforeAutospacing="off" w:after="0" w:afterAutospacing="off" w:line="252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 xml:space="preserve">Práticas contábeis adotadas no Brasil e IFRS (nota 2); receita reconhecida na transferência do controle, conforme o </w:t>
            </w:r>
            <w:r w:rsidRPr="6ADDB7AE" w:rsidR="68BF71E0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 xml:space="preserve">Termo internacional de Comércio - </w:t>
            </w:r>
            <w:r w:rsidRPr="6ADDB7AE" w:rsidR="68BF71E0">
              <w:rPr>
                <w:rFonts w:ascii="Arial" w:hAnsi="Arial" w:eastAsia="Arial" w:cs="Arial"/>
                <w:b w:val="0"/>
                <w:bCs w:val="0"/>
                <w:i w:val="1"/>
                <w:iCs w:val="1"/>
                <w:color w:val="262626" w:themeColor="text1" w:themeTint="D9" w:themeShade="FF"/>
                <w:sz w:val="17"/>
                <w:szCs w:val="17"/>
              </w:rPr>
              <w:t>Incoterm</w:t>
            </w: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 xml:space="preserve"> (exportação) ou o tempo de trânsito (mercado interno)</w:t>
            </w:r>
          </w:p>
        </w:tc>
        <w:tc>
          <w:tcPr>
            <w:tcW w:w="13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D2C9F1F" w14:textId="0CC4D4C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F1 p. 104, 115</w:t>
            </w:r>
          </w:p>
        </w:tc>
      </w:tr>
    </w:tbl>
    <w:p xmlns:wp14="http://schemas.microsoft.com/office/word/2010/wordml" w:rsidP="6ADDB7AE" wp14:paraId="33419CFF" wp14:textId="3349C78D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4   </w:t>
      </w: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CONTROLES INTERNOS E TI (ITENS 21–27)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490"/>
        <w:gridCol w:w="5625"/>
        <w:gridCol w:w="1485"/>
      </w:tblGrid>
      <w:tr w:rsidR="6ADDB7AE" w:rsidTr="6ADDB7AE" w14:paraId="0357BA66">
        <w:trPr>
          <w:trHeight w:val="300"/>
        </w:trPr>
        <w:tc>
          <w:tcPr>
            <w:tcW w:w="249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1FFB8E85" w14:textId="317000F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Componente (Apêndice 3)</w:t>
            </w:r>
          </w:p>
        </w:tc>
        <w:tc>
          <w:tcPr>
            <w:tcW w:w="562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CD8E2F3" w14:textId="6E55A90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Evidência pública</w:t>
            </w:r>
          </w:p>
        </w:tc>
        <w:tc>
          <w:tcPr>
            <w:tcW w:w="148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B9A9A2A" w14:textId="6EE0D0F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Avaliação</w:t>
            </w:r>
          </w:p>
        </w:tc>
      </w:tr>
      <w:tr w:rsidR="6ADDB7AE" w:rsidTr="6ADDB7AE" w14:paraId="1A51DE26">
        <w:trPr>
          <w:trHeight w:val="300"/>
        </w:trPr>
        <w:tc>
          <w:tcPr>
            <w:tcW w:w="249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CDAAACE" w14:textId="3300DD7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Ambiente de controle</w:t>
            </w:r>
          </w:p>
        </w:tc>
        <w:tc>
          <w:tcPr>
            <w:tcW w:w="562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F2FAA65" w14:textId="695878C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Novo Mercado; Comitê de Auditoria Estatutário com maioria independente; Código de Ética e canal de denúncias</w:t>
            </w:r>
          </w:p>
        </w:tc>
        <w:tc>
          <w:tcPr>
            <w:tcW w:w="148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1137C726" w14:textId="2D54AA1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Favorável</w:t>
            </w:r>
          </w:p>
        </w:tc>
      </w:tr>
      <w:tr w:rsidR="6ADDB7AE" w:rsidTr="6ADDB7AE" w14:paraId="20BB88F8">
        <w:trPr>
          <w:trHeight w:val="300"/>
        </w:trPr>
        <w:tc>
          <w:tcPr>
            <w:tcW w:w="24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9D2992C" w14:textId="4488712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Avaliação de riscos da entidade</w:t>
            </w:r>
          </w:p>
        </w:tc>
        <w:tc>
          <w:tcPr>
            <w:tcW w:w="56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CA8AB32" w14:textId="6D785EF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Gestão de riscos acompanhada pelo CAE, com análise dos principais riscos e planos de mitigação</w:t>
            </w:r>
          </w:p>
        </w:tc>
        <w:tc>
          <w:tcPr>
            <w:tcW w:w="14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F8B8652" w14:textId="78C236D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Favorável</w:t>
            </w:r>
          </w:p>
        </w:tc>
      </w:tr>
      <w:tr w:rsidR="6ADDB7AE" w:rsidTr="6ADDB7AE" w14:paraId="7516A4E7">
        <w:trPr>
          <w:trHeight w:val="300"/>
        </w:trPr>
        <w:tc>
          <w:tcPr>
            <w:tcW w:w="24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1847C755" w14:textId="76F9C30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Monitoramento</w:t>
            </w:r>
          </w:p>
        </w:tc>
        <w:tc>
          <w:tcPr>
            <w:tcW w:w="56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5581CE0" w14:textId="1C17200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Auditoria interna própria, vinculada ao Conselho de Administração; certificação dos controles pela Lei Sarbanes-Oxley (COSO), sem deficiências significativas ou materiais</w:t>
            </w:r>
          </w:p>
        </w:tc>
        <w:tc>
          <w:tcPr>
            <w:tcW w:w="14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3AEC5A07" w14:textId="3F4D34B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Favorável</w:t>
            </w:r>
          </w:p>
        </w:tc>
      </w:tr>
      <w:tr w:rsidR="6ADDB7AE" w:rsidTr="6ADDB7AE" w14:paraId="50597846">
        <w:trPr>
          <w:trHeight w:val="300"/>
        </w:trPr>
        <w:tc>
          <w:tcPr>
            <w:tcW w:w="24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3030BAC" w14:textId="3AF742D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Sistema de informação e TI</w:t>
            </w:r>
          </w:p>
        </w:tc>
        <w:tc>
          <w:tcPr>
            <w:tcW w:w="56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371FAC91" w14:textId="0558482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Programa de cibersegurança acompanhado pelo CAE; sistema contábil (ERP) e controles gerais de TI não divulgados</w:t>
            </w:r>
          </w:p>
        </w:tc>
        <w:tc>
          <w:tcPr>
            <w:tcW w:w="14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328A7B08" w14:textId="6F02944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Não avaliável</w:t>
            </w:r>
          </w:p>
        </w:tc>
      </w:tr>
      <w:tr w:rsidR="6ADDB7AE" w:rsidTr="6ADDB7AE" w14:paraId="46B92ECF">
        <w:trPr>
          <w:trHeight w:val="300"/>
        </w:trPr>
        <w:tc>
          <w:tcPr>
            <w:tcW w:w="249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8E1DF7C" w14:textId="5A6B31C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Atividades de controle</w:t>
            </w:r>
          </w:p>
        </w:tc>
        <w:tc>
          <w:tcPr>
            <w:tcW w:w="562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E32DFDB" w14:textId="79025E5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Não divulgadas em detalhe</w:t>
            </w:r>
          </w:p>
        </w:tc>
        <w:tc>
          <w:tcPr>
            <w:tcW w:w="148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1B975F61" w14:textId="13F419B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Não avaliável</w:t>
            </w:r>
          </w:p>
        </w:tc>
      </w:tr>
    </w:tbl>
    <w:p xmlns:wp14="http://schemas.microsoft.com/office/word/2010/wordml" w:rsidP="6ADDB7AE" wp14:paraId="0E899532" wp14:textId="4E28F01A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9"/>
          <w:szCs w:val="19"/>
        </w:rPr>
      </w:pPr>
      <w:r w:rsidRPr="6ADDB7AE" w:rsidR="4193F0B7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color w:val="7F7F7F" w:themeColor="text1" w:themeTint="80" w:themeShade="FF"/>
          <w:sz w:val="19"/>
          <w:szCs w:val="19"/>
        </w:rPr>
        <w:t>Fontes: F1 p. 49 e 202–204. Como os controles não podem ser testados com fontes públicas, o risco de controle é avaliado no máximo e o risco de distorção relevante passa a ser igual ao risco inerente (item 34).</w:t>
      </w:r>
    </w:p>
    <w:p xmlns:wp14="http://schemas.microsoft.com/office/word/2010/wordml" w:rsidP="6ADDB7AE" wp14:paraId="6EB1735B" wp14:textId="754BF67D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5   </w:t>
      </w: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RISCOS NO NÍVEL DAS DEMONSTRAÇÕES (ITEM 30)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3195"/>
        <w:gridCol w:w="5930"/>
      </w:tblGrid>
      <w:tr w:rsidR="6ADDB7AE" w:rsidTr="6ADDB7AE" w14:paraId="19A52568">
        <w:trPr>
          <w:trHeight w:val="300"/>
        </w:trPr>
        <w:tc>
          <w:tcPr>
            <w:tcW w:w="31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B62960C" w14:textId="67676FA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Risco</w:t>
            </w:r>
          </w:p>
        </w:tc>
        <w:tc>
          <w:tcPr>
            <w:tcW w:w="593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87F76E3" w14:textId="69C3E17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Por que existe</w:t>
            </w:r>
          </w:p>
        </w:tc>
      </w:tr>
      <w:tr w:rsidR="6ADDB7AE" w:rsidTr="6ADDB7AE" w14:paraId="62D66DE3">
        <w:trPr>
          <w:trHeight w:val="300"/>
        </w:trPr>
        <w:tc>
          <w:tcPr>
            <w:tcW w:w="31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C1B316A" w14:textId="2C87D07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Burla de controles pela administração</w:t>
            </w:r>
          </w:p>
        </w:tc>
        <w:tc>
          <w:tcPr>
            <w:tcW w:w="593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DF8B12D" w14:textId="77CA5C2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Risco presente em todas as entidades e sempre significativo (NBC TA 240, item 32)</w:t>
            </w:r>
          </w:p>
        </w:tc>
      </w:tr>
      <w:tr w:rsidR="6ADDB7AE" w:rsidTr="6ADDB7AE" w14:paraId="5D283095">
        <w:trPr>
          <w:trHeight w:val="300"/>
        </w:trPr>
        <w:tc>
          <w:tcPr>
            <w:tcW w:w="31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1D996C05" w14:textId="1703F91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Variação cambial disseminada</w:t>
            </w:r>
          </w:p>
        </w:tc>
        <w:tc>
          <w:tcPr>
            <w:tcW w:w="59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1BA763E4" w14:textId="2C561B7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82% da receita e boa parte da dívida em moeda estrangeira afetam receita, dívida, derivativos e impostos diferidos</w:t>
            </w:r>
          </w:p>
        </w:tc>
      </w:tr>
      <w:tr w:rsidR="6ADDB7AE" w:rsidTr="6ADDB7AE" w14:paraId="47C4E51E">
        <w:trPr>
          <w:trHeight w:val="300"/>
        </w:trPr>
        <w:tc>
          <w:tcPr>
            <w:tcW w:w="31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D9EE88E" w14:textId="2CEA617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Auditoria inicial</w:t>
            </w:r>
          </w:p>
        </w:tc>
        <w:tc>
          <w:tcPr>
            <w:tcW w:w="59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F861BA2" w14:textId="6E51897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Saldos de abertura auditados por outro auditor (premissa didática)</w:t>
            </w:r>
          </w:p>
        </w:tc>
      </w:tr>
      <w:tr w:rsidR="6ADDB7AE" w:rsidTr="6ADDB7AE" w14:paraId="4026FEB7">
        <w:trPr>
          <w:trHeight w:val="300"/>
        </w:trPr>
        <w:tc>
          <w:tcPr>
            <w:tcW w:w="31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1D3E8FFA" w14:textId="0016FE9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Complexidade do grupo</w:t>
            </w:r>
          </w:p>
        </w:tc>
        <w:tc>
          <w:tcPr>
            <w:tcW w:w="593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66DAD092" w14:textId="1939E31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Controladas em vários países e consolidação</w:t>
            </w:r>
          </w:p>
        </w:tc>
      </w:tr>
    </w:tbl>
    <w:p xmlns:wp14="http://schemas.microsoft.com/office/word/2010/wordml" w:rsidP="6ADDB7AE" wp14:paraId="60897EB0" wp14:textId="20C6BD00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6   </w:t>
      </w: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MATRIZ DE RISCOS POR CONTA E AFIRMAÇÃO (ITENS 31–33)</w:t>
      </w:r>
    </w:p>
    <w:p xmlns:wp14="http://schemas.microsoft.com/office/word/2010/wordml" w:rsidP="6ADDB7AE" wp14:paraId="39522A8A" wp14:textId="1A27ACE6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6ADDB7AE" w:rsidR="4193F0B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Fatores de risco inerente (item 12(f)): complexidade (C), subjetividade (S), mudança (M), incerteza (I) e suscetibilidade a viés ou fraude (V). Risco inerente (RI): A = alto, M = moderado, B = baixo.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695"/>
        <w:gridCol w:w="1185"/>
        <w:gridCol w:w="1395"/>
        <w:gridCol w:w="3075"/>
        <w:gridCol w:w="450"/>
        <w:gridCol w:w="795"/>
        <w:gridCol w:w="990"/>
      </w:tblGrid>
      <w:tr w:rsidR="6ADDB7AE" w:rsidTr="6ADDB7AE" w14:paraId="0B0AFBA8">
        <w:trPr>
          <w:trHeight w:val="300"/>
        </w:trPr>
        <w:tc>
          <w:tcPr>
            <w:tcW w:w="16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37398A76" w14:textId="43F1255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Conta</w:t>
            </w:r>
          </w:p>
        </w:tc>
        <w:tc>
          <w:tcPr>
            <w:tcW w:w="118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383C83B1" w14:textId="1CD8D80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Saldo 2025</w:t>
            </w:r>
          </w:p>
        </w:tc>
        <w:tc>
          <w:tcPr>
            <w:tcW w:w="13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6929BC98" w14:textId="6ACBD6F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Afirmações</w:t>
            </w:r>
          </w:p>
        </w:tc>
        <w:tc>
          <w:tcPr>
            <w:tcW w:w="307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53CC3ED" w14:textId="5532CA3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Fatores e motivo</w:t>
            </w:r>
          </w:p>
        </w:tc>
        <w:tc>
          <w:tcPr>
            <w:tcW w:w="45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D0AF431" w14:textId="3E36F7E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RI</w:t>
            </w:r>
          </w:p>
        </w:tc>
        <w:tc>
          <w:tcPr>
            <w:tcW w:w="7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AA67536" w14:textId="1D45F88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Signif.</w:t>
            </w:r>
          </w:p>
        </w:tc>
        <w:tc>
          <w:tcPr>
            <w:tcW w:w="99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5DEEB90" w14:textId="15AB1A0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PT</w:t>
            </w:r>
          </w:p>
        </w:tc>
      </w:tr>
      <w:tr w:rsidR="6ADDB7AE" w:rsidTr="6ADDB7AE" w14:paraId="60B3668C">
        <w:trPr>
          <w:trHeight w:val="300"/>
        </w:trPr>
        <w:tc>
          <w:tcPr>
            <w:tcW w:w="16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17C69522" w14:textId="01F7F57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Receita líquida</w:t>
            </w:r>
          </w:p>
        </w:tc>
        <w:tc>
          <w:tcPr>
            <w:tcW w:w="118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58CC318" w14:textId="1E0ACBA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50.116</w:t>
            </w:r>
          </w:p>
        </w:tc>
        <w:tc>
          <w:tcPr>
            <w:tcW w:w="13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EB0900B" w14:textId="768B147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Ocorrência, corte</w:t>
            </w:r>
          </w:p>
        </w:tc>
        <w:tc>
          <w:tcPr>
            <w:tcW w:w="307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38973147" w14:textId="5F0EB58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V, C – fraude presumida no reconhecimento de receita (NBC TA 240, item 27); corte depende do Incoterm e do tempo de trânsito</w:t>
            </w:r>
          </w:p>
        </w:tc>
        <w:tc>
          <w:tcPr>
            <w:tcW w:w="45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1CC46A50" w14:textId="4B32C1C0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</w:t>
            </w:r>
          </w:p>
        </w:tc>
        <w:tc>
          <w:tcPr>
            <w:tcW w:w="7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B863A80" w14:textId="76E9DDBB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Sim</w:t>
            </w:r>
          </w:p>
        </w:tc>
        <w:tc>
          <w:tcPr>
            <w:tcW w:w="99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8E39DA9" w14:textId="4FA5AE1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240, 330</w:t>
            </w:r>
          </w:p>
        </w:tc>
      </w:tr>
      <w:tr w:rsidR="6ADDB7AE" w:rsidTr="6ADDB7AE" w14:paraId="41732BFE">
        <w:trPr>
          <w:trHeight w:val="300"/>
        </w:trPr>
        <w:tc>
          <w:tcPr>
            <w:tcW w:w="16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6733BF33" w14:textId="3BFE7E4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Ativos biológicos</w:t>
            </w:r>
          </w:p>
        </w:tc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EEE28CF" w14:textId="34BD4B5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26.097</w:t>
            </w:r>
          </w:p>
        </w:tc>
        <w:tc>
          <w:tcPr>
            <w:tcW w:w="13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F4FEE68" w14:textId="4FC3254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Valorização</w:t>
            </w:r>
          </w:p>
        </w:tc>
        <w:tc>
          <w:tcPr>
            <w:tcW w:w="307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B68218E" w14:textId="39A3A1E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S, I – valor justo depende de premissas (crescimento da floresta e preço da madeira); PAA da PwC</w:t>
            </w:r>
          </w:p>
        </w:tc>
        <w:tc>
          <w:tcPr>
            <w:tcW w:w="4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FF0DF0A" w14:textId="0EFFA323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</w:t>
            </w:r>
          </w:p>
        </w:tc>
        <w:tc>
          <w:tcPr>
            <w:tcW w:w="7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054521C" w14:textId="74DB2FA5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Sim</w:t>
            </w:r>
          </w:p>
        </w:tc>
        <w:tc>
          <w:tcPr>
            <w:tcW w:w="9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F5AEFCE" w14:textId="7E16CCA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540</w:t>
            </w:r>
          </w:p>
        </w:tc>
      </w:tr>
      <w:tr w:rsidR="6ADDB7AE" w:rsidTr="6ADDB7AE" w14:paraId="1AB950C8">
        <w:trPr>
          <w:trHeight w:val="300"/>
        </w:trPr>
        <w:tc>
          <w:tcPr>
            <w:tcW w:w="16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77C7A96" w14:textId="27B9CD5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Provisões e contingências</w:t>
            </w:r>
          </w:p>
        </w:tc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9345D58" w14:textId="0D6A0F3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2.802 (possíveis: 10.418)</w:t>
            </w:r>
          </w:p>
        </w:tc>
        <w:tc>
          <w:tcPr>
            <w:tcW w:w="13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3D5F3234" w14:textId="6D8F2B2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Integridade, valorização, apresentação</w:t>
            </w:r>
          </w:p>
        </w:tc>
        <w:tc>
          <w:tcPr>
            <w:tcW w:w="307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F690F28" w14:textId="1EA32BB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S, I – chance de perda é subjetiva; PAA da PwC</w:t>
            </w:r>
          </w:p>
        </w:tc>
        <w:tc>
          <w:tcPr>
            <w:tcW w:w="4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5D3FE79" w14:textId="23E9215C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</w:t>
            </w:r>
          </w:p>
        </w:tc>
        <w:tc>
          <w:tcPr>
            <w:tcW w:w="7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9B54A98" w14:textId="1FC05D58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Sim</w:t>
            </w:r>
          </w:p>
        </w:tc>
        <w:tc>
          <w:tcPr>
            <w:tcW w:w="9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264DC27" w14:textId="1F9BD29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501, 540</w:t>
            </w:r>
          </w:p>
        </w:tc>
      </w:tr>
      <w:tr w:rsidR="6ADDB7AE" w:rsidTr="6ADDB7AE" w14:paraId="58F4DCFC">
        <w:trPr>
          <w:trHeight w:val="300"/>
        </w:trPr>
        <w:tc>
          <w:tcPr>
            <w:tcW w:w="16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4A935C4" w14:textId="32372BB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Imobilizado</w:t>
            </w:r>
          </w:p>
        </w:tc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318FE969" w14:textId="0BB9E48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64.296</w:t>
            </w:r>
          </w:p>
        </w:tc>
        <w:tc>
          <w:tcPr>
            <w:tcW w:w="13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08F33F1" w14:textId="6B0D7E4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Existência, valorização, direitos</w:t>
            </w:r>
          </w:p>
        </w:tc>
        <w:tc>
          <w:tcPr>
            <w:tcW w:w="307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130AE9D4" w14:textId="0B968A8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C, M – maior conta do ativo; depreciação, capitalização e projetos concluídos em 2025</w:t>
            </w:r>
          </w:p>
        </w:tc>
        <w:tc>
          <w:tcPr>
            <w:tcW w:w="4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6B4CD1D" w14:textId="43EC58F3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</w:t>
            </w:r>
          </w:p>
        </w:tc>
        <w:tc>
          <w:tcPr>
            <w:tcW w:w="7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F9AF9C1" w14:textId="10CA858E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Não</w:t>
            </w:r>
          </w:p>
        </w:tc>
        <w:tc>
          <w:tcPr>
            <w:tcW w:w="9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404B6B0" w14:textId="6A03CC1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330, 530</w:t>
            </w:r>
          </w:p>
        </w:tc>
      </w:tr>
      <w:tr w:rsidR="6ADDB7AE" w:rsidTr="6ADDB7AE" w14:paraId="4A3E8A8E">
        <w:trPr>
          <w:trHeight w:val="300"/>
        </w:trPr>
        <w:tc>
          <w:tcPr>
            <w:tcW w:w="16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374A3BA4" w14:textId="7ADD97A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Intangível e ágio</w:t>
            </w:r>
          </w:p>
        </w:tc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FBB329E" w14:textId="467241F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12.971 (ágio: 8.187)</w:t>
            </w:r>
          </w:p>
        </w:tc>
        <w:tc>
          <w:tcPr>
            <w:tcW w:w="13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FB54078" w14:textId="4C97BF0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Valorização</w:t>
            </w:r>
          </w:p>
        </w:tc>
        <w:tc>
          <w:tcPr>
            <w:tcW w:w="307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693F88E7" w14:textId="7E2B619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 – teste de recuperabilidade depende de projeções</w:t>
            </w:r>
          </w:p>
        </w:tc>
        <w:tc>
          <w:tcPr>
            <w:tcW w:w="4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1144971C" w14:textId="39D13DBB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</w:t>
            </w:r>
          </w:p>
        </w:tc>
        <w:tc>
          <w:tcPr>
            <w:tcW w:w="7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3EAB5930" w14:textId="061C4658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Não</w:t>
            </w:r>
          </w:p>
        </w:tc>
        <w:tc>
          <w:tcPr>
            <w:tcW w:w="9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CEBB298" w14:textId="139E1EE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540</w:t>
            </w:r>
          </w:p>
        </w:tc>
      </w:tr>
      <w:tr w:rsidR="6ADDB7AE" w:rsidTr="6ADDB7AE" w14:paraId="6EF5F0F3">
        <w:trPr>
          <w:trHeight w:val="300"/>
        </w:trPr>
        <w:tc>
          <w:tcPr>
            <w:tcW w:w="16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DAAA45E" w14:textId="59F0E66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Empréstimos e financiamentos</w:t>
            </w:r>
          </w:p>
        </w:tc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617F674C" w14:textId="44ED50B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94.801</w:t>
            </w:r>
          </w:p>
        </w:tc>
        <w:tc>
          <w:tcPr>
            <w:tcW w:w="13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E6949C0" w14:textId="42C2F84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Integridade, precisão, apresentação</w:t>
            </w:r>
          </w:p>
        </w:tc>
        <w:tc>
          <w:tcPr>
            <w:tcW w:w="307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262CF18" w14:textId="3C2236C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 – volume alto e moedas diferentes; classificação entre curto e longo prazo</w:t>
            </w:r>
          </w:p>
        </w:tc>
        <w:tc>
          <w:tcPr>
            <w:tcW w:w="4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EF0576D" w14:textId="046DF6C1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</w:t>
            </w:r>
          </w:p>
        </w:tc>
        <w:tc>
          <w:tcPr>
            <w:tcW w:w="7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393EF9EA" w14:textId="15508FB4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Não</w:t>
            </w:r>
          </w:p>
        </w:tc>
        <w:tc>
          <w:tcPr>
            <w:tcW w:w="9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74A0771" w14:textId="29ED57B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330, 505</w:t>
            </w:r>
          </w:p>
        </w:tc>
      </w:tr>
      <w:tr w:rsidR="6ADDB7AE" w:rsidTr="6ADDB7AE" w14:paraId="5FC3E4BA">
        <w:trPr>
          <w:trHeight w:val="300"/>
        </w:trPr>
        <w:tc>
          <w:tcPr>
            <w:tcW w:w="16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33636B67" w14:textId="5439778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Derivativos</w:t>
            </w:r>
          </w:p>
        </w:tc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397ED06" w14:textId="04D049D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Ativo 9.572 / Passivo 9.341</w:t>
            </w:r>
          </w:p>
        </w:tc>
        <w:tc>
          <w:tcPr>
            <w:tcW w:w="13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F0777D4" w14:textId="36DFD52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Valorização, apresentação</w:t>
            </w:r>
          </w:p>
        </w:tc>
        <w:tc>
          <w:tcPr>
            <w:tcW w:w="307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6A8DD047" w14:textId="6F2D36C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 – valor justo, majoritariamente com dados observáveis (nível 2)</w:t>
            </w:r>
          </w:p>
        </w:tc>
        <w:tc>
          <w:tcPr>
            <w:tcW w:w="4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054C9F6" w14:textId="51A3FAEE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</w:t>
            </w:r>
          </w:p>
        </w:tc>
        <w:tc>
          <w:tcPr>
            <w:tcW w:w="7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B6B3F8D" w14:textId="10E52135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Não</w:t>
            </w:r>
          </w:p>
        </w:tc>
        <w:tc>
          <w:tcPr>
            <w:tcW w:w="9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43701E7" w14:textId="7DB9E1A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330, 540</w:t>
            </w:r>
          </w:p>
        </w:tc>
      </w:tr>
      <w:tr w:rsidR="6ADDB7AE" w:rsidTr="6ADDB7AE" w14:paraId="76BE67D3">
        <w:trPr>
          <w:trHeight w:val="300"/>
        </w:trPr>
        <w:tc>
          <w:tcPr>
            <w:tcW w:w="16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6198EBA4" w14:textId="132FFA8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Estoques</w:t>
            </w:r>
          </w:p>
        </w:tc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369D5689" w14:textId="300E267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8.156</w:t>
            </w:r>
          </w:p>
        </w:tc>
        <w:tc>
          <w:tcPr>
            <w:tcW w:w="13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44660E7" w14:textId="334414A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Existência, valorização</w:t>
            </w:r>
          </w:p>
        </w:tc>
        <w:tc>
          <w:tcPr>
            <w:tcW w:w="307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02FAC25" w14:textId="253BEA1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 – unidades em vários locais; custo de produção</w:t>
            </w:r>
          </w:p>
        </w:tc>
        <w:tc>
          <w:tcPr>
            <w:tcW w:w="4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31F2A41D" w14:textId="6B1A9D36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</w:t>
            </w:r>
          </w:p>
        </w:tc>
        <w:tc>
          <w:tcPr>
            <w:tcW w:w="7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0A0FC08" w14:textId="15D44FA4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Não</w:t>
            </w:r>
          </w:p>
        </w:tc>
        <w:tc>
          <w:tcPr>
            <w:tcW w:w="9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21204F0" w14:textId="1263E12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501</w:t>
            </w:r>
          </w:p>
        </w:tc>
      </w:tr>
      <w:tr w:rsidR="6ADDB7AE" w:rsidTr="6ADDB7AE" w14:paraId="4C73D0C1">
        <w:trPr>
          <w:trHeight w:val="300"/>
        </w:trPr>
        <w:tc>
          <w:tcPr>
            <w:tcW w:w="16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C8657B8" w14:textId="5B97D46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Contas a receber</w:t>
            </w:r>
          </w:p>
        </w:tc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6FCC0C50" w14:textId="34F9149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6.561</w:t>
            </w:r>
          </w:p>
        </w:tc>
        <w:tc>
          <w:tcPr>
            <w:tcW w:w="13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F9EE2B6" w14:textId="4E84782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Existência, valorização</w:t>
            </w:r>
          </w:p>
        </w:tc>
        <w:tc>
          <w:tcPr>
            <w:tcW w:w="307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EB6096D" w14:textId="2C5EA4D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 – perda esperada com clientes no exterior</w:t>
            </w:r>
          </w:p>
        </w:tc>
        <w:tc>
          <w:tcPr>
            <w:tcW w:w="4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6B9D3E85" w14:textId="00629EAE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</w:t>
            </w:r>
          </w:p>
        </w:tc>
        <w:tc>
          <w:tcPr>
            <w:tcW w:w="7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68E7B4DF" w14:textId="1DCB1D86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Não</w:t>
            </w:r>
          </w:p>
        </w:tc>
        <w:tc>
          <w:tcPr>
            <w:tcW w:w="9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C949BBA" w14:textId="6051B65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505</w:t>
            </w:r>
          </w:p>
        </w:tc>
      </w:tr>
      <w:tr w:rsidR="6ADDB7AE" w:rsidTr="6ADDB7AE" w14:paraId="6C41A033">
        <w:trPr>
          <w:trHeight w:val="300"/>
        </w:trPr>
        <w:tc>
          <w:tcPr>
            <w:tcW w:w="16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DE31F28" w14:textId="4CD9206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Fornecedores</w:t>
            </w:r>
          </w:p>
        </w:tc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63DDFDF" w14:textId="5794162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5.141 (risco sacado: 439)</w:t>
            </w:r>
          </w:p>
        </w:tc>
        <w:tc>
          <w:tcPr>
            <w:tcW w:w="13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4768029" w14:textId="450BD8D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Integridade, apresentação</w:t>
            </w:r>
          </w:p>
        </w:tc>
        <w:tc>
          <w:tcPr>
            <w:tcW w:w="307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62E07E06" w14:textId="1879381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 – parte antecipada pelos fornecedores com bancos pode ser dívida disfarçada</w:t>
            </w:r>
          </w:p>
        </w:tc>
        <w:tc>
          <w:tcPr>
            <w:tcW w:w="4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196B6967" w14:textId="22458ED5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</w:t>
            </w:r>
          </w:p>
        </w:tc>
        <w:tc>
          <w:tcPr>
            <w:tcW w:w="7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B2ABE55" w14:textId="069479E7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Não</w:t>
            </w:r>
          </w:p>
        </w:tc>
        <w:tc>
          <w:tcPr>
            <w:tcW w:w="9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58BF9E0" w14:textId="7E7693E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330</w:t>
            </w:r>
          </w:p>
        </w:tc>
      </w:tr>
      <w:tr w:rsidR="6ADDB7AE" w:rsidTr="6ADDB7AE" w14:paraId="7F771E8B">
        <w:trPr>
          <w:trHeight w:val="300"/>
        </w:trPr>
        <w:tc>
          <w:tcPr>
            <w:tcW w:w="16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74E75EA" w14:textId="5852095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Arrendamentos</w:t>
            </w:r>
          </w:p>
        </w:tc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FFD19D9" w14:textId="0DEE6E1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Ativo 5.332 / Passivo 6.930</w:t>
            </w:r>
          </w:p>
        </w:tc>
        <w:tc>
          <w:tcPr>
            <w:tcW w:w="13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7503F3B" w14:textId="287324A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Valorização</w:t>
            </w:r>
          </w:p>
        </w:tc>
        <w:tc>
          <w:tcPr>
            <w:tcW w:w="307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FC7FB27" w14:textId="7BC6B70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 – taxas e prazos dos contratos</w:t>
            </w:r>
          </w:p>
        </w:tc>
        <w:tc>
          <w:tcPr>
            <w:tcW w:w="4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6ACAA544" w14:textId="59328ACA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</w:t>
            </w:r>
          </w:p>
        </w:tc>
        <w:tc>
          <w:tcPr>
            <w:tcW w:w="7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4440F04" w14:textId="1581DDEB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Não</w:t>
            </w:r>
          </w:p>
        </w:tc>
        <w:tc>
          <w:tcPr>
            <w:tcW w:w="9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3EA48C1" w14:textId="737A8FD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330</w:t>
            </w:r>
          </w:p>
        </w:tc>
      </w:tr>
      <w:tr w:rsidR="6ADDB7AE" w:rsidTr="6ADDB7AE" w14:paraId="79996E80">
        <w:trPr>
          <w:trHeight w:val="300"/>
        </w:trPr>
        <w:tc>
          <w:tcPr>
            <w:tcW w:w="16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DA35507" w14:textId="288821C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IR e CS diferidos</w:t>
            </w:r>
          </w:p>
        </w:tc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67D9D052" w14:textId="501EE8A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Ativo 1.504</w:t>
            </w:r>
          </w:p>
        </w:tc>
        <w:tc>
          <w:tcPr>
            <w:tcW w:w="13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5CCB7BB" w14:textId="2A3505D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Valorização</w:t>
            </w:r>
          </w:p>
        </w:tc>
        <w:tc>
          <w:tcPr>
            <w:tcW w:w="307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D11CD3A" w14:textId="3D5DA8E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S, I – recuperação depende de lucros futuros e de interpretações tributárias</w:t>
            </w:r>
          </w:p>
        </w:tc>
        <w:tc>
          <w:tcPr>
            <w:tcW w:w="4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6CEEFDF4" w14:textId="788A98ED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</w:t>
            </w:r>
          </w:p>
        </w:tc>
        <w:tc>
          <w:tcPr>
            <w:tcW w:w="7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9F438C2" w14:textId="521CE877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Não</w:t>
            </w:r>
          </w:p>
        </w:tc>
        <w:tc>
          <w:tcPr>
            <w:tcW w:w="9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6139836" w14:textId="10F2F57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540</w:t>
            </w:r>
          </w:p>
        </w:tc>
      </w:tr>
      <w:tr w:rsidR="6ADDB7AE" w:rsidTr="6ADDB7AE" w14:paraId="3F90F81F">
        <w:trPr>
          <w:trHeight w:val="300"/>
        </w:trPr>
        <w:tc>
          <w:tcPr>
            <w:tcW w:w="16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6B67A045" w14:textId="0C0EFCB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Caixa e aplicações</w:t>
            </w:r>
          </w:p>
        </w:tc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51817F3" w14:textId="2DDB51F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25.432</w:t>
            </w:r>
          </w:p>
        </w:tc>
        <w:tc>
          <w:tcPr>
            <w:tcW w:w="13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5FEA91A" w14:textId="2E88574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Existência, direitos</w:t>
            </w:r>
          </w:p>
        </w:tc>
        <w:tc>
          <w:tcPr>
            <w:tcW w:w="307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E3D9FEB" w14:textId="50DAF3C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Baixa complexidade; confirmação bancária disponível</w:t>
            </w:r>
          </w:p>
        </w:tc>
        <w:tc>
          <w:tcPr>
            <w:tcW w:w="4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3AC4E13B" w14:textId="55F98CF2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B</w:t>
            </w:r>
          </w:p>
        </w:tc>
        <w:tc>
          <w:tcPr>
            <w:tcW w:w="7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BF06C65" w14:textId="58176B9D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Não</w:t>
            </w:r>
          </w:p>
        </w:tc>
        <w:tc>
          <w:tcPr>
            <w:tcW w:w="9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06E449D" w14:textId="4A20AAF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505</w:t>
            </w:r>
          </w:p>
        </w:tc>
      </w:tr>
      <w:tr w:rsidR="6ADDB7AE" w:rsidTr="6ADDB7AE" w14:paraId="05FACA60">
        <w:trPr>
          <w:trHeight w:val="300"/>
        </w:trPr>
        <w:tc>
          <w:tcPr>
            <w:tcW w:w="16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6A57F2B" w14:textId="55ABE2C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Partes relacionadas</w:t>
            </w:r>
          </w:p>
        </w:tc>
        <w:tc>
          <w:tcPr>
            <w:tcW w:w="118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793BC4F" w14:textId="35EEAB5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Ver PT 550</w:t>
            </w:r>
          </w:p>
        </w:tc>
        <w:tc>
          <w:tcPr>
            <w:tcW w:w="13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C4F61E1" w14:textId="711389D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Integridade (divulgação)</w:t>
            </w:r>
          </w:p>
        </w:tc>
        <w:tc>
          <w:tcPr>
            <w:tcW w:w="307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CDAB377" w14:textId="1539852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 xml:space="preserve">V – </w:t>
            </w:r>
            <w:bookmarkStart w:name="_Int_4vk7kvs6" w:id="327966609"/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omissão</w:t>
            </w:r>
            <w:bookmarkEnd w:id="327966609"/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 xml:space="preserve"> possível</w:t>
            </w:r>
          </w:p>
        </w:tc>
        <w:tc>
          <w:tcPr>
            <w:tcW w:w="45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6A88FDE6" w14:textId="35FEC1AD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M</w:t>
            </w:r>
          </w:p>
        </w:tc>
        <w:tc>
          <w:tcPr>
            <w:tcW w:w="7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377F8A9" w14:textId="2F4703E0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Não</w:t>
            </w:r>
          </w:p>
        </w:tc>
        <w:tc>
          <w:tcPr>
            <w:tcW w:w="99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E0A0386" w14:textId="101D307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550</w:t>
            </w:r>
          </w:p>
        </w:tc>
      </w:tr>
    </w:tbl>
    <w:p xmlns:wp14="http://schemas.microsoft.com/office/word/2010/wordml" w:rsidP="6ADDB7AE" wp14:paraId="131BEB3F" wp14:textId="57FC4D03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7F7F7F" w:themeColor="text1" w:themeTint="80" w:themeShade="FF"/>
          <w:sz w:val="19"/>
          <w:szCs w:val="19"/>
        </w:rPr>
      </w:pPr>
      <w:r w:rsidRPr="6ADDB7AE" w:rsidR="4193F0B7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color w:val="7F7F7F" w:themeColor="text1" w:themeTint="80" w:themeShade="FF"/>
          <w:sz w:val="19"/>
          <w:szCs w:val="19"/>
        </w:rPr>
        <w:t>Fontes dos saldos: F1 p. 25–28, 109, 116 e 161. Saldo dos arrendamentos: 857,8 + 6.072,1. Caixa e aplicações: 15.179,8 + 9.932,8 + 319,7.</w:t>
      </w:r>
    </w:p>
    <w:p xmlns:wp14="http://schemas.microsoft.com/office/word/2010/wordml" w:rsidP="6ADDB7AE" wp14:paraId="79F94894" wp14:textId="692FDFAF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Riscos significativos (item 32): </w:t>
      </w:r>
      <w:r w:rsidRPr="6ADDB7AE" w:rsidR="4193F0B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reconhecimento de receita (ocorrência e corte), valor justo dos ativos biológicos, provisões e contingências tributárias e burla de controles pela administração. Os dois do meio coincidem com os PAAs da PwC.</w:t>
      </w:r>
    </w:p>
    <w:p xmlns:wp14="http://schemas.microsoft.com/office/word/2010/wordml" w:rsidP="6ADDB7AE" wp14:paraId="40BE2EE4" wp14:textId="49C9385F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Procedimentos substantivos insuficientes (item 33): </w:t>
      </w:r>
      <w:r w:rsidRPr="6ADDB7AE" w:rsidR="4193F0B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nenhum identificado com fontes públicas. A receita, por ter alto volume processado em sistemas, deve ser reavaliada se houver acesso aos controles de TI.</w:t>
      </w:r>
    </w:p>
    <w:p xmlns:wp14="http://schemas.microsoft.com/office/word/2010/wordml" w:rsidP="6ADDB7AE" wp14:paraId="7E4622DF" wp14:textId="73C15F75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7   </w:t>
      </w: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PROCEDIMENTOS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4890"/>
        <w:gridCol w:w="2700"/>
        <w:gridCol w:w="2025"/>
      </w:tblGrid>
      <w:tr w:rsidR="6ADDB7AE" w:rsidTr="6ADDB7AE" w14:paraId="1DC1D659">
        <w:trPr>
          <w:trHeight w:val="300"/>
        </w:trPr>
        <w:tc>
          <w:tcPr>
            <w:tcW w:w="489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E2AEC09" w14:textId="6953998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Procedimento</w:t>
            </w:r>
          </w:p>
        </w:tc>
        <w:tc>
          <w:tcPr>
            <w:tcW w:w="27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35957AA4" w14:textId="6BF1F60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Classificação</w:t>
            </w:r>
          </w:p>
        </w:tc>
        <w:tc>
          <w:tcPr>
            <w:tcW w:w="202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D5C1427" w14:textId="41AE707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Evidência</w:t>
            </w:r>
          </w:p>
        </w:tc>
      </w:tr>
      <w:tr w:rsidR="6ADDB7AE" w:rsidTr="6ADDB7AE" w14:paraId="6F2D6A18">
        <w:trPr>
          <w:trHeight w:val="300"/>
        </w:trPr>
        <w:tc>
          <w:tcPr>
            <w:tcW w:w="489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8C68824" w14:textId="77CA65D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Leitura das notas, do relatório da administração e dos relatórios da governança</w:t>
            </w:r>
          </w:p>
        </w:tc>
        <w:tc>
          <w:tcPr>
            <w:tcW w:w="270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8A7F7F1" w14:textId="2F2286C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Realizado com evidência pública</w:t>
            </w:r>
          </w:p>
        </w:tc>
        <w:tc>
          <w:tcPr>
            <w:tcW w:w="202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619EB28" w14:textId="599FBF2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Seções 3 e 4</w:t>
            </w:r>
          </w:p>
        </w:tc>
      </w:tr>
      <w:tr w:rsidR="6ADDB7AE" w:rsidTr="6ADDB7AE" w14:paraId="45141BE8">
        <w:trPr>
          <w:trHeight w:val="300"/>
        </w:trPr>
        <w:tc>
          <w:tcPr>
            <w:tcW w:w="4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18307B4" w14:textId="1CD7318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Análise por segmento, mercado e conta para identificar riscos</w:t>
            </w:r>
          </w:p>
        </w:tc>
        <w:tc>
          <w:tcPr>
            <w:tcW w:w="27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68C1880" w14:textId="10C423E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Realizado com evidência pública</w:t>
            </w:r>
          </w:p>
        </w:tc>
        <w:tc>
          <w:tcPr>
            <w:tcW w:w="20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3015848" w14:textId="5705D30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Seções 5 e 6</w:t>
            </w:r>
          </w:p>
        </w:tc>
      </w:tr>
      <w:tr w:rsidR="6ADDB7AE" w:rsidTr="6ADDB7AE" w14:paraId="41EB2A97">
        <w:trPr>
          <w:trHeight w:val="300"/>
        </w:trPr>
        <w:tc>
          <w:tcPr>
            <w:tcW w:w="4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3C5BEB2F" w14:textId="00BE602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Indagações à administração, à auditoria interna e aos responsáveis pela governança (item 14)</w:t>
            </w:r>
          </w:p>
        </w:tc>
        <w:tc>
          <w:tcPr>
            <w:tcW w:w="27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022CA02A" w14:textId="2405DCC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Planejado por falta de acesso</w:t>
            </w:r>
          </w:p>
        </w:tc>
        <w:tc>
          <w:tcPr>
            <w:tcW w:w="20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0AAF6F3" w14:textId="58A5133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—</w:t>
            </w:r>
          </w:p>
        </w:tc>
      </w:tr>
      <w:tr w:rsidR="6ADDB7AE" w:rsidTr="6ADDB7AE" w14:paraId="08D53648">
        <w:trPr>
          <w:trHeight w:val="300"/>
        </w:trPr>
        <w:tc>
          <w:tcPr>
            <w:tcW w:w="48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8137037" w14:textId="04572A0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Entendimento e teste dos controles gerais de TI e das atividades de controle</w:t>
            </w:r>
          </w:p>
        </w:tc>
        <w:tc>
          <w:tcPr>
            <w:tcW w:w="27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17C70E60" w14:textId="09BE592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Planejado por falta de acesso</w:t>
            </w:r>
          </w:p>
        </w:tc>
        <w:tc>
          <w:tcPr>
            <w:tcW w:w="20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BACD623" w14:textId="4CCEF50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→ PT 265, 330</w:t>
            </w:r>
          </w:p>
        </w:tc>
      </w:tr>
      <w:tr w:rsidR="6ADDB7AE" w:rsidTr="6ADDB7AE" w14:paraId="1117E24E">
        <w:trPr>
          <w:trHeight w:val="300"/>
        </w:trPr>
        <w:tc>
          <w:tcPr>
            <w:tcW w:w="489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9FAA427" w14:textId="46A1A42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Visitas às fábricas e às florestas</w:t>
            </w:r>
          </w:p>
        </w:tc>
        <w:tc>
          <w:tcPr>
            <w:tcW w:w="270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38A731D1" w14:textId="63CB644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Planejado por falta de acesso</w:t>
            </w:r>
          </w:p>
        </w:tc>
        <w:tc>
          <w:tcPr>
            <w:tcW w:w="202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61A11197" w14:textId="327255F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→ PT 501</w:t>
            </w:r>
          </w:p>
        </w:tc>
      </w:tr>
    </w:tbl>
    <w:p xmlns:wp14="http://schemas.microsoft.com/office/word/2010/wordml" w:rsidP="6ADDB7AE" wp14:paraId="47508ED6" wp14:textId="385F39FF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8   </w:t>
      </w: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CONCLUSÃO E LIMITAÇÕES</w:t>
      </w:r>
    </w:p>
    <w:p xmlns:wp14="http://schemas.microsoft.com/office/word/2010/wordml" w:rsidP="6ADDB7AE" wp14:paraId="77164E09" wp14:textId="09AA7563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Resultado. </w:t>
      </w:r>
      <w:r w:rsidRPr="6ADDB7AE" w:rsidR="4193F0B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Foram identificados quatro riscos significativos e treze contas ou divulgações com risco inerente moderado ou alto. O imobilizado, maior conta do ativo e objeto da base simulada, tem risco moderado. Sem exceções.</w:t>
      </w:r>
    </w:p>
    <w:p xmlns:wp14="http://schemas.microsoft.com/office/word/2010/wordml" w:rsidP="6ADDB7AE" wp14:paraId="0B3BCABF" wp14:textId="6B8A6579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Limitações. </w:t>
      </w:r>
      <w:r w:rsidRPr="6ADDB7AE" w:rsidR="4193F0B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Sem acesso aos controles, aos sistemas e às pessoas da Companhia: o risco de controle foi considerado máximo, o que torna as respostas do PT 330 essencialmente substantivas.</w:t>
      </w:r>
    </w:p>
    <w:p xmlns:wp14="http://schemas.microsoft.com/office/word/2010/wordml" w:rsidP="6ADDB7AE" wp14:paraId="4F849F14" wp14:textId="045A934B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 xml:space="preserve">Referências cruzadas. </w:t>
      </w:r>
      <w:r w:rsidRPr="6ADDB7AE" w:rsidR="4193F0B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  <w:t>PT 240 (fraude), PT 300 (estratégia), PT 320 (materialidade), PT 330 (respostas), PT 540 (estimativas), PT 550 (partes relacionadas) e PT 600 (grupo).</w:t>
      </w:r>
    </w:p>
    <w:p xmlns:wp14="http://schemas.microsoft.com/office/word/2010/wordml" w:rsidP="6ADDB7AE" wp14:paraId="7D8263F3" wp14:textId="041172D2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7F7F7F" w:themeColor="text1" w:themeTint="80" w:themeShade="FF"/>
          <w:sz w:val="20"/>
          <w:szCs w:val="20"/>
        </w:rPr>
        <w:t xml:space="preserve">9   </w:t>
      </w:r>
      <w:r w:rsidRPr="6ADDB7AE" w:rsidR="4193F0B7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PREPARAÇÃO E REVISÃO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3195"/>
        <w:gridCol w:w="1800"/>
        <w:gridCol w:w="2835"/>
        <w:gridCol w:w="1800"/>
      </w:tblGrid>
      <w:tr w:rsidR="6ADDB7AE" w:rsidTr="6ADDB7AE" w14:paraId="588F8215">
        <w:trPr>
          <w:trHeight w:val="300"/>
        </w:trPr>
        <w:tc>
          <w:tcPr>
            <w:tcW w:w="31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4CD58063" w14:textId="23625B3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Preparado por (matrícula)</w:t>
            </w: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6622205F" w14:textId="643EB21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Data</w:t>
            </w:r>
          </w:p>
        </w:tc>
        <w:tc>
          <w:tcPr>
            <w:tcW w:w="28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5104E90A" w14:textId="63E68F9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Revisado por</w:t>
            </w: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1D7C90D5" w14:textId="22028D4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7F7F7F" w:themeColor="text1" w:themeTint="80" w:themeShade="FF"/>
                <w:sz w:val="16"/>
                <w:szCs w:val="16"/>
              </w:rPr>
            </w:pPr>
            <w:r w:rsidRPr="6ADDB7AE" w:rsidR="6ADDB7AE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7F7F7F" w:themeColor="text1" w:themeTint="80" w:themeShade="FF"/>
                <w:sz w:val="16"/>
                <w:szCs w:val="16"/>
              </w:rPr>
              <w:t>Data da revisão</w:t>
            </w:r>
          </w:p>
        </w:tc>
      </w:tr>
      <w:tr w:rsidR="6ADDB7AE" w:rsidTr="6ADDB7AE" w14:paraId="5D8452BA">
        <w:trPr>
          <w:trHeight w:val="300"/>
        </w:trPr>
        <w:tc>
          <w:tcPr>
            <w:tcW w:w="31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11A33AE4" w14:textId="6CB2C2B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241003769</w:t>
            </w: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1B39768" w14:textId="39C4FD0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</w:pPr>
            <w:r w:rsidRPr="6ADDB7AE" w:rsidR="6ADDB7AE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7"/>
                <w:szCs w:val="17"/>
              </w:rPr>
              <w:t>20/10/2026</w:t>
            </w:r>
          </w:p>
        </w:tc>
        <w:tc>
          <w:tcPr>
            <w:tcW w:w="28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2C849CB0" w14:textId="02DD6C4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9"/>
                <w:szCs w:val="19"/>
              </w:rPr>
            </w:pP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6ADDB7AE" w:rsidP="6ADDB7AE" w:rsidRDefault="6ADDB7AE" w14:paraId="7D236004" w14:textId="4ED56E6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262626" w:themeColor="text1" w:themeTint="D9" w:themeShade="FF"/>
                <w:sz w:val="19"/>
                <w:szCs w:val="19"/>
              </w:rPr>
            </w:pPr>
          </w:p>
        </w:tc>
      </w:tr>
    </w:tbl>
    <w:p xmlns:wp14="http://schemas.microsoft.com/office/word/2010/wordml" w:rsidP="6ADDB7AE" wp14:paraId="1E207724" wp14:textId="2973D7FD">
      <w:pPr>
        <w:pStyle w:val="Normal"/>
        <w:bidi w:val="0"/>
        <w:spacing w:after="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c8cf994b4db9410c"/>
      <w:footerReference w:type="default" r:id="Rb411b172c2c34e4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ADDB7AE" w:rsidTr="6ADDB7AE" w14:paraId="31351362">
      <w:trPr>
        <w:trHeight w:val="300"/>
      </w:trPr>
      <w:tc>
        <w:tcPr>
          <w:tcW w:w="3005" w:type="dxa"/>
          <w:tcMar/>
        </w:tcPr>
        <w:p w:rsidR="6ADDB7AE" w:rsidP="6ADDB7AE" w:rsidRDefault="6ADDB7AE" w14:paraId="1377EA6A" w14:textId="4F7EB5A5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6ADDB7AE" w:rsidP="6ADDB7AE" w:rsidRDefault="6ADDB7AE" w14:paraId="2732992B" w14:textId="42DB9444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6ADDB7AE" w:rsidP="6ADDB7AE" w:rsidRDefault="6ADDB7AE" w14:paraId="1B741C0B" w14:textId="54F389A3">
          <w:pPr>
            <w:pStyle w:val="Header"/>
            <w:bidi w:val="0"/>
            <w:ind w:right="-115"/>
            <w:jc w:val="right"/>
          </w:pPr>
        </w:p>
      </w:tc>
    </w:tr>
  </w:tbl>
  <w:p w:rsidR="6ADDB7AE" w:rsidP="6ADDB7AE" w:rsidRDefault="6ADDB7AE" w14:paraId="69AE3B21" w14:textId="755FA8F1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7155"/>
    </w:tblGrid>
    <w:tr w:rsidR="6ADDB7AE" w:rsidTr="6ADDB7AE" w14:paraId="48649118">
      <w:trPr>
        <w:trHeight w:val="300"/>
      </w:trPr>
      <w:tc>
        <w:tcPr>
          <w:tcW w:w="3005" w:type="dxa"/>
          <w:tcMar/>
        </w:tcPr>
        <w:p w:rsidR="6ADDB7AE" w:rsidP="6ADDB7AE" w:rsidRDefault="6ADDB7AE" w14:paraId="669C55C9" w14:textId="299BEF2F">
          <w:pPr>
            <w:pStyle w:val="Header"/>
            <w:bidi w:val="0"/>
            <w:jc w:val="center"/>
          </w:pPr>
        </w:p>
      </w:tc>
      <w:tc>
        <w:tcPr>
          <w:tcW w:w="7155" w:type="dxa"/>
          <w:tcMar/>
        </w:tcPr>
        <w:p w:rsidR="6ADDB7AE" w:rsidP="6ADDB7AE" w:rsidRDefault="6ADDB7AE" w14:paraId="5B6C9BD4" w14:textId="785593F0">
          <w:pPr>
            <w:pStyle w:val="Header"/>
            <w:bidi w:val="0"/>
            <w:ind w:left="-115" w:right="90"/>
            <w:jc w:val="right"/>
          </w:pPr>
          <w:r w:rsidRPr="6ADDB7AE" w:rsidR="6ADDB7AE">
            <w:rPr>
              <w:rFonts w:ascii="Calibri" w:hAnsi="Calibri" w:eastAsia="Calibri" w:cs="Calibri"/>
              <w:b w:val="0"/>
              <w:bCs w:val="0"/>
              <w:i w:val="0"/>
              <w:iCs w:val="0"/>
              <w:caps w:val="0"/>
              <w:smallCaps w:val="0"/>
              <w:color w:val="808080" w:themeColor="background1" w:themeTint="FF" w:themeShade="80"/>
              <w:sz w:val="16"/>
              <w:szCs w:val="16"/>
            </w:rPr>
            <w:t xml:space="preserve">Auditoria 1 – UnB 2026.2 | Suzano S.A. 2025 | PT </w:t>
          </w:r>
          <w:r w:rsidRPr="6ADDB7AE" w:rsidR="6ADDB7AE">
            <w:rPr>
              <w:rFonts w:ascii="Calibri" w:hAnsi="Calibri" w:eastAsia="Calibri" w:cs="Calibri"/>
              <w:b w:val="0"/>
              <w:bCs w:val="0"/>
              <w:i w:val="0"/>
              <w:iCs w:val="0"/>
              <w:caps w:val="0"/>
              <w:smallCaps w:val="0"/>
              <w:color w:val="808080" w:themeColor="background1" w:themeTint="FF" w:themeShade="80"/>
              <w:sz w:val="16"/>
              <w:szCs w:val="16"/>
            </w:rPr>
            <w:t>315</w:t>
          </w:r>
        </w:p>
      </w:tc>
    </w:tr>
  </w:tbl>
  <w:p w:rsidR="6ADDB7AE" w:rsidP="6ADDB7AE" w:rsidRDefault="6ADDB7AE" w14:paraId="7CEC1A61" w14:textId="72DED17D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HKxczNDBNeCmo7" int2:id="4ZtIDvy3">
      <int2:state int2:type="spell" int2:value="Rejected"/>
    </int2:textHash>
    <int2:textHash int2:hashCode="bM4lz2eCVfDC4I" int2:id="5VI42hTp">
      <int2:state int2:type="spell" int2:value="Rejected"/>
    </int2:textHash>
    <int2:textHash int2:hashCode="jz11khmS9GYRcU" int2:id="Ybav2HBm">
      <int2:state int2:type="spell" int2:value="Rejected"/>
    </int2:textHash>
    <int2:textHash int2:hashCode="u46xfKsC+BLI1A" int2:id="EOdvPcP7">
      <int2:state int2:type="spell" int2:value="Rejected"/>
    </int2:textHash>
    <int2:textHash int2:hashCode="jZKIYoBOflOeg0" int2:id="oXsQnd2C">
      <int2:state int2:type="spell" int2:value="Rejected"/>
    </int2:textHash>
    <int2:textHash int2:hashCode="GFP9Qn0Iu5iRwc" int2:id="p7u2KCWd">
      <int2:state int2:type="spell" int2:value="Rejected"/>
    </int2:textHash>
    <int2:textHash int2:hashCode="T/dfgJV0acS2r1" int2:id="fY0yBU6r">
      <int2:state int2:type="spell" int2:value="Rejected"/>
    </int2:textHash>
    <int2:bookmark int2:bookmarkName="_Int_4vk7kvs6" int2:invalidationBookmarkName="" int2:hashCode="6EFFUsVuhbVfN2" int2:id="J1XMU3Zn">
      <int2:state int2:type="gram" int2:value="Rejected"/>
    </int2:bookmark>
    <int2:bookmark int2:bookmarkName="_Int_z0MzMTnz" int2:invalidationBookmarkName="" int2:hashCode="V9LxqTRUiuWI44" int2:id="Hi09E65E">
      <int2:state int2:type="gram" int2:value="Rejected"/>
    </int2:bookmark>
    <int2:bookmark int2:bookmarkName="_Int_ib8lgMbm" int2:invalidationBookmarkName="" int2:hashCode="8CkoB/EwiQh7bu" int2:id="K3xnLwUF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59c037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7f3a16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3fa254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fd192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2fafd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9b5b4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69a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•"/>
      <w:lvlJc w:val="left"/>
      <w:pPr>
        <w:ind w:left="500" w:hanging="2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ED20B83"/>
    <w:rsid w:val="011A83B6"/>
    <w:rsid w:val="01306683"/>
    <w:rsid w:val="01746230"/>
    <w:rsid w:val="0223C95E"/>
    <w:rsid w:val="027F62E5"/>
    <w:rsid w:val="038540D8"/>
    <w:rsid w:val="05184C4B"/>
    <w:rsid w:val="059CB6AA"/>
    <w:rsid w:val="073EEE6D"/>
    <w:rsid w:val="08AE989A"/>
    <w:rsid w:val="09673444"/>
    <w:rsid w:val="0ABBD582"/>
    <w:rsid w:val="0D616FB3"/>
    <w:rsid w:val="0E30FB40"/>
    <w:rsid w:val="0E948883"/>
    <w:rsid w:val="12708081"/>
    <w:rsid w:val="131A14A3"/>
    <w:rsid w:val="13C18680"/>
    <w:rsid w:val="13EAC771"/>
    <w:rsid w:val="14BAA7E7"/>
    <w:rsid w:val="14E42F05"/>
    <w:rsid w:val="1883A56F"/>
    <w:rsid w:val="1884274B"/>
    <w:rsid w:val="19CD751C"/>
    <w:rsid w:val="19D6320C"/>
    <w:rsid w:val="1A8C2314"/>
    <w:rsid w:val="1A8C2314"/>
    <w:rsid w:val="1A9002EE"/>
    <w:rsid w:val="1B1160CE"/>
    <w:rsid w:val="1BE28AC6"/>
    <w:rsid w:val="1C0D7C78"/>
    <w:rsid w:val="1C57F14B"/>
    <w:rsid w:val="1C739363"/>
    <w:rsid w:val="1E0594DC"/>
    <w:rsid w:val="1E0594DC"/>
    <w:rsid w:val="1E1A72D4"/>
    <w:rsid w:val="1E2C74FD"/>
    <w:rsid w:val="1E50F5FE"/>
    <w:rsid w:val="2042C1AA"/>
    <w:rsid w:val="22198A17"/>
    <w:rsid w:val="24005765"/>
    <w:rsid w:val="25529155"/>
    <w:rsid w:val="2668DAE6"/>
    <w:rsid w:val="271F7ECF"/>
    <w:rsid w:val="2AC5FBB5"/>
    <w:rsid w:val="2B2AD0CC"/>
    <w:rsid w:val="2F627354"/>
    <w:rsid w:val="30B63283"/>
    <w:rsid w:val="310A644E"/>
    <w:rsid w:val="3144C377"/>
    <w:rsid w:val="321D0DD1"/>
    <w:rsid w:val="32FF3506"/>
    <w:rsid w:val="362D2E0B"/>
    <w:rsid w:val="36BB4CB8"/>
    <w:rsid w:val="37702721"/>
    <w:rsid w:val="37EC1079"/>
    <w:rsid w:val="381A9377"/>
    <w:rsid w:val="39068857"/>
    <w:rsid w:val="3930D397"/>
    <w:rsid w:val="3A534784"/>
    <w:rsid w:val="3A5EA17B"/>
    <w:rsid w:val="3ADE138A"/>
    <w:rsid w:val="3B21F213"/>
    <w:rsid w:val="3C38817C"/>
    <w:rsid w:val="3E6E76E0"/>
    <w:rsid w:val="3E7A4EB2"/>
    <w:rsid w:val="3F2E0EE4"/>
    <w:rsid w:val="3F6C80E0"/>
    <w:rsid w:val="4193F0B7"/>
    <w:rsid w:val="44E2F39A"/>
    <w:rsid w:val="44E75B3E"/>
    <w:rsid w:val="4571A110"/>
    <w:rsid w:val="458D3F8A"/>
    <w:rsid w:val="481BC9E5"/>
    <w:rsid w:val="48B878B7"/>
    <w:rsid w:val="499A6DA5"/>
    <w:rsid w:val="4A6CCC25"/>
    <w:rsid w:val="4C2BCC65"/>
    <w:rsid w:val="4C778481"/>
    <w:rsid w:val="4CB49A8C"/>
    <w:rsid w:val="4DEDACF9"/>
    <w:rsid w:val="4F27EE36"/>
    <w:rsid w:val="4FD42890"/>
    <w:rsid w:val="50E19BE1"/>
    <w:rsid w:val="51672B92"/>
    <w:rsid w:val="518F9E19"/>
    <w:rsid w:val="51DA259B"/>
    <w:rsid w:val="51DE326D"/>
    <w:rsid w:val="5344D2F2"/>
    <w:rsid w:val="54244B1B"/>
    <w:rsid w:val="542EB4C9"/>
    <w:rsid w:val="57801450"/>
    <w:rsid w:val="58225285"/>
    <w:rsid w:val="5833D511"/>
    <w:rsid w:val="5B2C69A3"/>
    <w:rsid w:val="5BC5AA9B"/>
    <w:rsid w:val="5C58FB2D"/>
    <w:rsid w:val="5C9C4987"/>
    <w:rsid w:val="5D2882FE"/>
    <w:rsid w:val="5D2931F0"/>
    <w:rsid w:val="5E2D2769"/>
    <w:rsid w:val="5F4BBD12"/>
    <w:rsid w:val="5FEDE9D1"/>
    <w:rsid w:val="6046D935"/>
    <w:rsid w:val="60738780"/>
    <w:rsid w:val="60DB19B1"/>
    <w:rsid w:val="61C2A11A"/>
    <w:rsid w:val="61C346DF"/>
    <w:rsid w:val="62FF6043"/>
    <w:rsid w:val="63205F1C"/>
    <w:rsid w:val="632D14A5"/>
    <w:rsid w:val="6424C402"/>
    <w:rsid w:val="656EBC66"/>
    <w:rsid w:val="676B3C17"/>
    <w:rsid w:val="68147977"/>
    <w:rsid w:val="68156EEA"/>
    <w:rsid w:val="68156EEA"/>
    <w:rsid w:val="68BF71E0"/>
    <w:rsid w:val="6988F2A9"/>
    <w:rsid w:val="6A4994F7"/>
    <w:rsid w:val="6AAD1B46"/>
    <w:rsid w:val="6ADDB7AE"/>
    <w:rsid w:val="6B3C6FAB"/>
    <w:rsid w:val="6C6BB954"/>
    <w:rsid w:val="6C76A16F"/>
    <w:rsid w:val="6CD9F37B"/>
    <w:rsid w:val="6D5E6689"/>
    <w:rsid w:val="6E8E8995"/>
    <w:rsid w:val="6F10F671"/>
    <w:rsid w:val="70C8A8D8"/>
    <w:rsid w:val="7165B74A"/>
    <w:rsid w:val="71D6414C"/>
    <w:rsid w:val="727407FA"/>
    <w:rsid w:val="73E91AE4"/>
    <w:rsid w:val="759CB2A2"/>
    <w:rsid w:val="7641FD9E"/>
    <w:rsid w:val="77026C05"/>
    <w:rsid w:val="78309E6D"/>
    <w:rsid w:val="78A13169"/>
    <w:rsid w:val="7980DA60"/>
    <w:rsid w:val="79D8656B"/>
    <w:rsid w:val="7BB5E64C"/>
    <w:rsid w:val="7BDA1864"/>
    <w:rsid w:val="7C8D4AD5"/>
    <w:rsid w:val="7C9284D6"/>
    <w:rsid w:val="7DB7A68F"/>
    <w:rsid w:val="7E76A2F3"/>
    <w:rsid w:val="7ED20B83"/>
    <w:rsid w:val="7EF7B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8840C"/>
  <w15:chartTrackingRefBased/>
  <w15:docId w15:val="{AE9EA3DC-B2E8-448C-B859-C51B310DFDE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uiPriority w:val="0"/>
    <w:name w:val="Normal"/>
    <w:qFormat/>
    <w:rsid w:val="6ADDB7AE"/>
    <w:rPr>
      <w:noProof w:val="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ADDB7AE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6ADDB7AE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ADDB7AE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Hyperlink">
    <w:uiPriority w:val="99"/>
    <w:name w:val="Hyperlink"/>
    <w:basedOn w:val="DefaultParagraphFont"/>
    <w:unhideWhenUsed/>
    <w:rsid w:val="6ADDB7AE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www2.cfc.org.br/sisweb/sre/detalhes_sre.aspx?Codigo=2021/NBCTA315(R2)&amp;arquivo=NBCTA315(R2).doc&amp;_gl=1*1tnectm*_ga*NTgzMjIxNjUuMTc4NzUxODUzMg..*_ga_38VHCFH9HD*czE3OTI1MjI2MzYkbzgkZzAkdDE3OTI1MjI2MzYkajYwJGwwJGgw" TargetMode="External" Id="R89c08917331e4c42" /><Relationship Type="http://schemas.openxmlformats.org/officeDocument/2006/relationships/hyperlink" Target="https://www.rad.cvm.gov.br/ENETWEB/frmGerenciaPaginaFRE.aspx?NumeroSequencialDocumento=154674&amp;CodigoTipoInstituicao=1" TargetMode="External" Id="R373cf0c49cd14391" /><Relationship Type="http://schemas.openxmlformats.org/officeDocument/2006/relationships/hyperlink" Target="https://www2.cfc.org.br/sisweb/sre/detalhes_sre.aspx?Codigo=2021/NBCTA315(R2)&amp;arquivo=NBCTA315(R2).doc&amp;_gl=1*1tnectm*_ga*NTgzMjIxNjUuMTc4NzUxODUzMg..*_ga_38VHCFH9HD*czE3OTI1MjI2MzYkbzgkZzAkdDE3OTI1MjI2MzYkajYwJGwwJGgw" TargetMode="External" Id="Re2bbc55e003a41c6" /><Relationship Type="http://schemas.openxmlformats.org/officeDocument/2006/relationships/header" Target="header.xml" Id="Rc8cf994b4db9410c" /><Relationship Type="http://schemas.openxmlformats.org/officeDocument/2006/relationships/footer" Target="footer.xml" Id="Rb411b172c2c34e44" /><Relationship Type="http://schemas.microsoft.com/office/2020/10/relationships/intelligence" Target="intelligence2.xml" Id="Red00139503454854" /><Relationship Type="http://schemas.openxmlformats.org/officeDocument/2006/relationships/numbering" Target="numbering.xml" Id="R5ada509f66f34d2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2026-10-19T18:31:55.3078925Z</dcterms:created>
  <dcterms:modified xsi:type="dcterms:W3CDTF">2026-10-20T19:06:20.6043516Z</dcterms:modified>
  <dc:creator>Gabriela Aparecida Parreira</dc:creator>
  <lastModifiedBy>Gabriela Aparecida Parreira</lastModifiedBy>
</coreProperties>
</file>