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DDB7AE" wp14:paraId="62728C74" wp14:textId="784C3242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6ADDB7AE" wp14:paraId="7E1935EC" wp14:textId="0897DB4B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315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- 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Identificação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e 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avaliação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dos </w:t>
      </w:r>
      <w:r w:rsidRPr="6ADDB7AE" w:rsidR="4193F0B7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riscos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6ADDB7AE" w:rsidTr="6ADDB7AE" w14:paraId="7895DC09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33ABD9D" w14:textId="199BC15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6ADDB7AE" w:rsidP="6ADDB7AE" w:rsidRDefault="6ADDB7AE" w14:paraId="4FD315B2" w14:textId="19B800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315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4A936A5" w14:textId="0A40433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6ADDB7AE" w:rsidP="6ADDB7AE" w:rsidRDefault="6ADDB7AE" w14:paraId="52B57D12" w14:textId="27932C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E592120" w14:textId="0A0EC90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6ADDB7AE" w:rsidP="6ADDB7AE" w:rsidRDefault="6ADDB7AE" w14:paraId="6DFC00B3" w14:textId="4B197F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6ADDB7AE" w:rsidTr="6ADDB7AE" w14:paraId="7B9019F3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571A401" w14:textId="1403C6A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6ADDB7AE" w:rsidP="6ADDB7AE" w:rsidRDefault="6ADDB7AE" w14:paraId="3F4329CB" w14:textId="2734DB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315 (R2) – Identificação e avaliação dos riscos de distorção relevante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35313DE" w14:textId="0DABDD3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6ADDB7AE" w:rsidP="6ADDB7AE" w:rsidRDefault="6ADDB7AE" w14:paraId="0B2C7169" w14:textId="24E095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12(f)(l), 19–27, 28–34, 38; A190; Apêndices 2, 3 e 5</w:t>
            </w:r>
          </w:p>
        </w:tc>
      </w:tr>
      <w:tr w:rsidR="6ADDB7AE" w:rsidTr="6ADDB7AE" w14:paraId="0D9185C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25CDE6B" w14:textId="6E9038B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>
            <w:pPr>
              <w:bidi w:val="0"/>
              <w:spacing w:after="0" w:line="252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315 (R2) – CFC, acesso em 20/10/2026: </w:t>
            </w:r>
            <w:hyperlink r:id="R89c08917331e4c42">
              <w:r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olor w:val="262626" w:themeColor="text1" w:themeTint="D9" w:themeShade="FF"/>
                  <w:sz w:val="18"/>
                  <w:szCs w:val="18"/>
                </w:rPr>
                <w:t xml:space="preserve">NBC TA 315 (R2)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100404E" w14:textId="1D481AF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6ADDB7AE" w:rsidP="6ADDB7AE" w:rsidRDefault="6ADDB7AE" w14:paraId="28240388" w14:textId="08A238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Realizado com evidência pública; controles não testados</w:t>
            </w:r>
          </w:p>
        </w:tc>
      </w:tr>
    </w:tbl>
    <w:p xmlns:wp14="http://schemas.microsoft.com/office/word/2010/wordml" w:rsidP="6ADDB7AE" wp14:paraId="786A55BD" wp14:textId="5E139729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6ADDB7AE" wp14:paraId="0D2670FC" wp14:textId="34AEE089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documentos públicos; não constitui opinião de auditoria. As avaliações de risco são julgamento do preparador. Sem dados simulados. Valores consolidados em R$ milhões; materialidade global de R$ 250,6 mi (PT 320).</w:t>
      </w:r>
    </w:p>
    <w:p xmlns:wp14="http://schemas.microsoft.com/office/word/2010/wordml" w:rsidP="6ADDB7AE" wp14:paraId="181BDA0E" wp14:textId="6938DD0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6ADDB7AE" wp14:paraId="34F5DE9D" wp14:textId="07CB721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Entender a Suzano, seu ambiente, a estrutura de relatório financeiro, a TI e os controles internos (itens 19–27), e identificar e avaliar os riscos de distorção relevante nas demonstrações como um todo e por conta e afirmação, destacando os riscos significativos (itens 28–34).</w:t>
      </w:r>
    </w:p>
    <w:p xmlns:wp14="http://schemas.microsoft.com/office/word/2010/wordml" w:rsidP="6ADDB7AE" wp14:paraId="0DDC6DC3" wp14:textId="3212F2D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CRITÉRIOS</w:t>
      </w:r>
    </w:p>
    <w:p xmlns:wp14="http://schemas.microsoft.com/office/word/2010/wordml" w:rsidP="6ADDB7AE" wp14:paraId="18103C3A" wp14:textId="0984CD5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População: todas as contas e divulgações relevantes das demonstrações consolidadas de 2025. Critério: contas acima da materialidade global ou com risco qualitativo relevante.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6ADDB7AE" w:rsidTr="6ADDB7AE" w14:paraId="5111AAD8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148B69B" w14:textId="323466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4BC56DE" w14:textId="0D5E3F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33731BC" w14:textId="152159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85FFD1C" w14:textId="7D9958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6ADDB7AE" w:rsidTr="6ADDB7AE" w14:paraId="5C6649AE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24C5644" w14:textId="46D54F3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90E9855" w14:textId="7C93046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31/12/2025, versão 1 – CVM/RAD: </w:t>
            </w:r>
            <w:hyperlink r:id="R373cf0c49cd14391">
              <w:r w:rsidRPr="6ADDB7AE" w:rsidR="79D8656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9D8656B" w:rsidP="6ADDB7AE" w:rsidRDefault="79D8656B" w14:paraId="037F5967" w14:textId="32AA76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79D8656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C2B1A3E" w14:textId="5E2897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25–30, 40–49, 100, 109, 115–116, 149, 161, 166, 190, 197–204</w:t>
            </w:r>
          </w:p>
        </w:tc>
      </w:tr>
      <w:tr w:rsidR="6ADDB7AE" w:rsidTr="6ADDB7AE" w14:paraId="566FF446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8727402" w14:textId="15ABCC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8737538" w14:textId="675A9AE1">
            <w:pPr>
              <w:bidi w:val="0"/>
              <w:spacing w:after="0" w:line="252" w:lineRule="auto"/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315 (R2) – CFC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hyperlink r:id="Re2bbc55e003a41c6">
              <w:r w:rsidRPr="6ADDB7AE" w:rsidR="1E2C74F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315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E53BBBB" w14:textId="1B12F2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ADCDE1C" w14:textId="2681A6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12, 19–38, A190</w:t>
            </w:r>
          </w:p>
        </w:tc>
      </w:tr>
    </w:tbl>
    <w:p xmlns:wp14="http://schemas.microsoft.com/office/word/2010/wordml" w:rsidP="6ADDB7AE" wp14:paraId="4B9ADDD1" wp14:textId="508CDCE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ENTENDIMENTO DA ENTIDADE E DO AMBIENTE (ITENS 19–22)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6225"/>
        <w:gridCol w:w="1395"/>
      </w:tblGrid>
      <w:tr w:rsidR="6ADDB7AE" w:rsidTr="6ADDB7AE" w14:paraId="5F46E402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2830DE2" w14:textId="6DFF7A3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Aspecto</w:t>
            </w:r>
          </w:p>
        </w:tc>
        <w:tc>
          <w:tcPr>
            <w:tcW w:w="62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3E11BB0" w14:textId="6EC74E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 da Suzano em 2025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4F87ABA" w14:textId="7C32E4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Fonte</w:t>
            </w:r>
          </w:p>
        </w:tc>
      </w:tr>
      <w:tr w:rsidR="6ADDB7AE" w:rsidTr="6ADDB7AE" w14:paraId="2193DC1C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2AA2BA4" w14:textId="4BBD7E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Atividade e segmentos</w:t>
            </w:r>
          </w:p>
        </w:tc>
        <w:tc>
          <w:tcPr>
            <w:tcW w:w="62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A8CD728" w14:textId="5183FB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Celulose de eucalipto (75% da receita) e papel, incluindo papelcartão e 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262626" w:themeColor="text1" w:themeTint="D9" w:themeShade="FF"/>
                <w:sz w:val="17"/>
                <w:szCs w:val="17"/>
              </w:rPr>
              <w:t>tissue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(25%)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3346D47" w14:textId="7C32CC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190</w:t>
            </w:r>
          </w:p>
        </w:tc>
      </w:tr>
      <w:tr w:rsidR="6ADDB7AE" w:rsidTr="6ADDB7AE" w14:paraId="3FAE4E8B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41AA1D5" w14:textId="004771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Mercados</w:t>
            </w:r>
          </w:p>
        </w:tc>
        <w:tc>
          <w:tcPr>
            <w:tcW w:w="6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A0F2572" w14:textId="65F9C8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82% da receita vem do exterior: Ásia (36%), Europa (22%) e América do Norte (20%); China responde por 39% da receita externa de celulose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EA25A97" w14:textId="27BDCF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190</w:t>
            </w:r>
          </w:p>
        </w:tc>
      </w:tr>
      <w:tr w:rsidR="6ADDB7AE" w:rsidTr="6ADDB7AE" w14:paraId="11031125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DAAE9F8" w14:textId="211F2B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Estrutura do grupo</w:t>
            </w:r>
          </w:p>
        </w:tc>
        <w:tc>
          <w:tcPr>
            <w:tcW w:w="6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CBAB6BF" w14:textId="14A8B9A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Controladas no Brasil e em mais de 10 países; Suzano 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262626" w:themeColor="text1" w:themeTint="D9" w:themeShade="FF"/>
                <w:sz w:val="17"/>
                <w:szCs w:val="17"/>
              </w:rPr>
              <w:t>Packaging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(EUA), adquirida em out/2024, teve o primeiro ano completo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12C8187" w14:textId="027721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100, 190</w:t>
            </w:r>
          </w:p>
        </w:tc>
      </w:tr>
      <w:tr w:rsidR="6ADDB7AE" w:rsidTr="6ADDB7AE" w14:paraId="07C9136A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B390F21" w14:textId="598E9B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Financiamento</w:t>
            </w:r>
          </w:p>
        </w:tc>
        <w:tc>
          <w:tcPr>
            <w:tcW w:w="6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AF346C5" w14:textId="62946D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Dívida bruta de R$ 94,8 bi, grande parte em dólar; sem cláusulas financeiras restritivas (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262626" w:themeColor="text1" w:themeTint="D9" w:themeShade="FF"/>
                <w:sz w:val="17"/>
                <w:szCs w:val="17"/>
              </w:rPr>
              <w:t>covenants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76CFC28" w14:textId="6213BF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27, 166</w:t>
            </w:r>
          </w:p>
        </w:tc>
      </w:tr>
      <w:tr w:rsidR="6ADDB7AE" w:rsidTr="6ADDB7AE" w14:paraId="110B3879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46AC679" w14:textId="43FD22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Fatos do período</w:t>
            </w:r>
          </w:p>
        </w:tc>
        <w:tc>
          <w:tcPr>
            <w:tcW w:w="6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E5E6504" w14:textId="00D369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Acordo para adquirir 51% de joint venture de tissue com a Kimberly-Clark (conclusão prevista para 2026); permuta de 18 milhões de m³ de madeira em pé; tarifas dos EUA e queda do preço da celulose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E2695B6" w14:textId="56EB24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40</w:t>
            </w:r>
          </w:p>
        </w:tc>
      </w:tr>
      <w:tr w:rsidR="6ADDB7AE" w:rsidTr="6ADDB7AE" w14:paraId="2EB05D7A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9312A72" w14:textId="209087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Estrutura de relatório</w:t>
            </w:r>
          </w:p>
        </w:tc>
        <w:tc>
          <w:tcPr>
            <w:tcW w:w="62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0AEB4A5" w14:textId="5C2E29B2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Práticas contábeis adotadas no Brasil e IFRS (nota 2); receita reconhecida na transferência do controle, conforme o </w:t>
            </w:r>
            <w:r w:rsidRPr="6ADDB7AE" w:rsidR="68BF71E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Termo internacional de Comércio - </w:t>
            </w:r>
            <w:r w:rsidRPr="6ADDB7AE" w:rsidR="68BF71E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262626" w:themeColor="text1" w:themeTint="D9" w:themeShade="FF"/>
                <w:sz w:val="17"/>
                <w:szCs w:val="17"/>
              </w:rPr>
              <w:t>Incoterm</w:t>
            </w: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(exportação) ou o tempo de trânsito (mercado interno)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D2C9F1F" w14:textId="0CC4D4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104, 115</w:t>
            </w:r>
          </w:p>
        </w:tc>
      </w:tr>
    </w:tbl>
    <w:p xmlns:wp14="http://schemas.microsoft.com/office/word/2010/wordml" w:rsidP="6ADDB7AE" wp14:paraId="33419CFF" wp14:textId="3349C78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CONTROLES INTERNOS E TI (ITENS 21–27)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90"/>
        <w:gridCol w:w="5625"/>
        <w:gridCol w:w="1485"/>
      </w:tblGrid>
      <w:tr w:rsidR="6ADDB7AE" w:rsidTr="6ADDB7AE" w14:paraId="0357BA66">
        <w:trPr>
          <w:trHeight w:val="300"/>
        </w:trPr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FFB8E85" w14:textId="317000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Componente (Apêndice 3)</w:t>
            </w:r>
          </w:p>
        </w:tc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CD8E2F3" w14:textId="6E55A9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 pública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B9A9A2A" w14:textId="6EE0D0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Avaliação</w:t>
            </w:r>
          </w:p>
        </w:tc>
      </w:tr>
      <w:tr w:rsidR="6ADDB7AE" w:rsidTr="6ADDB7AE" w14:paraId="1A51DE26">
        <w:trPr>
          <w:trHeight w:val="300"/>
        </w:trPr>
        <w:tc>
          <w:tcPr>
            <w:tcW w:w="24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CDAAACE" w14:textId="3300DD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Ambiente de controle</w:t>
            </w:r>
          </w:p>
        </w:tc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2FAA65" w14:textId="695878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Novo Mercado; Comitê de Auditoria Estatutário com maioria independente; Código de Ética e canal de denúncias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137C726" w14:textId="2D54AA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Favorável</w:t>
            </w:r>
          </w:p>
        </w:tc>
      </w:tr>
      <w:tr w:rsidR="6ADDB7AE" w:rsidTr="6ADDB7AE" w14:paraId="20BB88F8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9D2992C" w14:textId="448871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Avaliação de riscos da entidade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CA8AB32" w14:textId="6D785E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Gestão de riscos acompanhada pelo CAE, com análise dos principais riscos e planos de mitigação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8B8652" w14:textId="78C236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Favorável</w:t>
            </w:r>
          </w:p>
        </w:tc>
      </w:tr>
      <w:tr w:rsidR="6ADDB7AE" w:rsidTr="6ADDB7AE" w14:paraId="7516A4E7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847C755" w14:textId="76F9C3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Monitoramento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5581CE0" w14:textId="1C1720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Auditoria interna própria, vinculada ao Conselho de Administração; certificação dos controles pela Lei Sarbanes-Oxley (COSO), sem deficiências significativas ou materiais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AEC5A07" w14:textId="3F4D34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Favorável</w:t>
            </w:r>
          </w:p>
        </w:tc>
      </w:tr>
      <w:tr w:rsidR="6ADDB7AE" w:rsidTr="6ADDB7AE" w14:paraId="50597846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3030BAC" w14:textId="3AF742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Sistema de informação e TI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71FAC91" w14:textId="055848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Programa de cibersegurança acompanhado pelo CAE; sistema contábil (ERP) e controles gerais de TI não divulgados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28A7B08" w14:textId="6F0294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avaliável</w:t>
            </w:r>
          </w:p>
        </w:tc>
      </w:tr>
      <w:tr w:rsidR="6ADDB7AE" w:rsidTr="6ADDB7AE" w14:paraId="46B92ECF">
        <w:trPr>
          <w:trHeight w:val="300"/>
        </w:trPr>
        <w:tc>
          <w:tcPr>
            <w:tcW w:w="24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8E1DF7C" w14:textId="5A6B31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Atividades de controle</w:t>
            </w:r>
          </w:p>
        </w:tc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E32DFDB" w14:textId="79025E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divulgadas em detalhe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B975F61" w14:textId="13F419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avaliável</w:t>
            </w:r>
          </w:p>
        </w:tc>
      </w:tr>
    </w:tbl>
    <w:p xmlns:wp14="http://schemas.microsoft.com/office/word/2010/wordml" w:rsidP="6ADDB7AE" wp14:paraId="0E899532" wp14:textId="4E28F01A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Fontes: F1 p. 49 e 202–204. Como os controles não podem ser testados com fontes públicas, o risco de controle é avaliado no máximo e o risco de distorção relevante passa a ser igual ao risco inerente (item 34).</w:t>
      </w:r>
    </w:p>
    <w:p xmlns:wp14="http://schemas.microsoft.com/office/word/2010/wordml" w:rsidP="6ADDB7AE" wp14:paraId="6EB1735B" wp14:textId="754BF67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RISCOS NO NÍVEL DAS DEMONSTRAÇÕES (ITEM 30)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5930"/>
      </w:tblGrid>
      <w:tr w:rsidR="6ADDB7AE" w:rsidTr="6ADDB7AE" w14:paraId="19A52568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B62960C" w14:textId="67676F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59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87F76E3" w14:textId="69C3E1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Por que existe</w:t>
            </w:r>
          </w:p>
        </w:tc>
      </w:tr>
      <w:tr w:rsidR="6ADDB7AE" w:rsidTr="6ADDB7AE" w14:paraId="62D66DE3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C1B316A" w14:textId="2C87D0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Burla de controles pela administração</w:t>
            </w:r>
          </w:p>
        </w:tc>
        <w:tc>
          <w:tcPr>
            <w:tcW w:w="59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DF8B12D" w14:textId="77CA5C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presente em todas as entidades e sempre significativo (NBC TA 240, item 32)</w:t>
            </w:r>
          </w:p>
        </w:tc>
      </w:tr>
      <w:tr w:rsidR="6ADDB7AE" w:rsidTr="6ADDB7AE" w14:paraId="5D283095">
        <w:trPr>
          <w:trHeight w:val="300"/>
        </w:trPr>
        <w:tc>
          <w:tcPr>
            <w:tcW w:w="31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D996C05" w14:textId="1703F9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Variação cambial disseminada</w:t>
            </w:r>
          </w:p>
        </w:tc>
        <w:tc>
          <w:tcPr>
            <w:tcW w:w="59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BA763E4" w14:textId="2C561B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82% da receita e boa parte da dívida em moeda estrangeira afetam receita, dívida, derivativos e impostos diferidos</w:t>
            </w:r>
          </w:p>
        </w:tc>
      </w:tr>
      <w:tr w:rsidR="6ADDB7AE" w:rsidTr="6ADDB7AE" w14:paraId="47C4E51E">
        <w:trPr>
          <w:trHeight w:val="300"/>
        </w:trPr>
        <w:tc>
          <w:tcPr>
            <w:tcW w:w="31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D9EE88E" w14:textId="2CEA61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Auditoria inicial</w:t>
            </w:r>
          </w:p>
        </w:tc>
        <w:tc>
          <w:tcPr>
            <w:tcW w:w="59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F861BA2" w14:textId="6E5189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Saldos de abertura auditados por outro auditor (premissa didática)</w:t>
            </w:r>
          </w:p>
        </w:tc>
      </w:tr>
      <w:tr w:rsidR="6ADDB7AE" w:rsidTr="6ADDB7AE" w14:paraId="4026FEB7">
        <w:trPr>
          <w:trHeight w:val="300"/>
        </w:trPr>
        <w:tc>
          <w:tcPr>
            <w:tcW w:w="31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D3E8FFA" w14:textId="0016FE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Complexidade do grupo</w:t>
            </w:r>
          </w:p>
        </w:tc>
        <w:tc>
          <w:tcPr>
            <w:tcW w:w="59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6DAD092" w14:textId="1939E3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Controladas em vários países e consolidação</w:t>
            </w:r>
          </w:p>
        </w:tc>
      </w:tr>
    </w:tbl>
    <w:p xmlns:wp14="http://schemas.microsoft.com/office/word/2010/wordml" w:rsidP="6ADDB7AE" wp14:paraId="60897EB0" wp14:textId="20C6BD0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MATRIZ DE RISCOS POR CONTA E AFIRMAÇÃO (ITENS 31–33)</w:t>
      </w:r>
    </w:p>
    <w:p xmlns:wp14="http://schemas.microsoft.com/office/word/2010/wordml" w:rsidP="6ADDB7AE" wp14:paraId="39522A8A" wp14:textId="1A27ACE6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Fatores de risco inerente (item 12(f)): complexidade (C), subjetividade (S), mudança (M), incerteza (I) e suscetibilidade a viés ou fraude (V). Risco inerente (RI): A = alto, M = moderado, B = baixo.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95"/>
        <w:gridCol w:w="1185"/>
        <w:gridCol w:w="1395"/>
        <w:gridCol w:w="3075"/>
        <w:gridCol w:w="450"/>
        <w:gridCol w:w="795"/>
        <w:gridCol w:w="990"/>
      </w:tblGrid>
      <w:tr w:rsidR="6ADDB7AE" w:rsidTr="6ADDB7AE" w14:paraId="0B0AFBA8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7398A76" w14:textId="43F125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</w:t>
            </w:r>
          </w:p>
        </w:tc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83C83B1" w14:textId="1CD8D8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Saldo 2025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929BC98" w14:textId="6ACBD6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Afirmações</w:t>
            </w:r>
          </w:p>
        </w:tc>
        <w:tc>
          <w:tcPr>
            <w:tcW w:w="30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53CC3ED" w14:textId="5532CA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Fatores e motivo</w:t>
            </w:r>
          </w:p>
        </w:tc>
        <w:tc>
          <w:tcPr>
            <w:tcW w:w="4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D0AF431" w14:textId="3E36F7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</w:t>
            </w:r>
          </w:p>
        </w:tc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AA67536" w14:textId="1D45F8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Signif.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5DEEB90" w14:textId="15AB1A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PT</w:t>
            </w:r>
          </w:p>
        </w:tc>
      </w:tr>
      <w:tr w:rsidR="6ADDB7AE" w:rsidTr="6ADDB7AE" w14:paraId="60B3668C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7C69522" w14:textId="01F7F5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líquida</w:t>
            </w:r>
          </w:p>
        </w:tc>
        <w:tc>
          <w:tcPr>
            <w:tcW w:w="11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58CC318" w14:textId="1E0ACB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50.116</w:t>
            </w:r>
          </w:p>
        </w:tc>
        <w:tc>
          <w:tcPr>
            <w:tcW w:w="13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EB0900B" w14:textId="768B14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Ocorrência, corte</w:t>
            </w:r>
          </w:p>
        </w:tc>
        <w:tc>
          <w:tcPr>
            <w:tcW w:w="30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8973147" w14:textId="5F0EB5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V, C – fraude presumida no reconhecimento de receita (NBC TA 240, item 27); corte depende do Incoterm e do tempo de trânsito</w:t>
            </w:r>
          </w:p>
        </w:tc>
        <w:tc>
          <w:tcPr>
            <w:tcW w:w="4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CC46A50" w14:textId="4B32C1C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</w:t>
            </w:r>
          </w:p>
        </w:tc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B863A80" w14:textId="76E9DDB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  <w:tc>
          <w:tcPr>
            <w:tcW w:w="9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8E39DA9" w14:textId="4FA5AE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240, 330</w:t>
            </w:r>
          </w:p>
        </w:tc>
      </w:tr>
      <w:tr w:rsidR="6ADDB7AE" w:rsidTr="6ADDB7AE" w14:paraId="41732BFE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733BF33" w14:textId="3BFE7E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EEE28CF" w14:textId="34BD4B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26.097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F4FEE68" w14:textId="4FC325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B68218E" w14:textId="39A3A1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S, I – valor justo depende de premissas (crescimento da floresta e preço da madeira); PAA da PwC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FF0DF0A" w14:textId="0EFFA32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054521C" w14:textId="74DB2FA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F5AEFCE" w14:textId="7E16CC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540</w:t>
            </w:r>
          </w:p>
        </w:tc>
      </w:tr>
      <w:tr w:rsidR="6ADDB7AE" w:rsidTr="6ADDB7AE" w14:paraId="1AB950C8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77C7A96" w14:textId="27B9CD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Provisões e contingências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9345D58" w14:textId="0D6A0F3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2.802 (possíveis: 10.418)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D5F3234" w14:textId="6D8F2B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valorização, apresentação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690F28" w14:textId="1EA32B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S, I – chance de perda é subjetiva; PAA da PwC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5D3FE79" w14:textId="23E9215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9B54A98" w14:textId="1FC05D5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264DC27" w14:textId="1F9BD29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501, 540</w:t>
            </w:r>
          </w:p>
        </w:tc>
      </w:tr>
      <w:tr w:rsidR="6ADDB7AE" w:rsidTr="6ADDB7AE" w14:paraId="58F4DCFC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4A935C4" w14:textId="32372B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Imobilizado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18FE969" w14:textId="0BB9E4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64.296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08F33F1" w14:textId="6B0D7E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valorização, direitos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30AE9D4" w14:textId="0B968A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C, M – maior conta do ativo; depreciação, capitalização e projetos concluídos em 2025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6B4CD1D" w14:textId="43EC58F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F9AF9C1" w14:textId="10CA858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404B6B0" w14:textId="6A03CC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330, 530</w:t>
            </w:r>
          </w:p>
        </w:tc>
      </w:tr>
      <w:tr w:rsidR="6ADDB7AE" w:rsidTr="6ADDB7AE" w14:paraId="4A3E8A8E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74A3BA4" w14:textId="7ADD97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Intangível e ágio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BB329E" w14:textId="467241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12.971 (ágio: 8.187)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FB54078" w14:textId="4C97BF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93F88E7" w14:textId="7E2B61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 – teste de recuperabilidade depende de projeções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144971C" w14:textId="39D13DB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EAB5930" w14:textId="061C465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CEBB298" w14:textId="139E1E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540</w:t>
            </w:r>
          </w:p>
        </w:tc>
      </w:tr>
      <w:tr w:rsidR="6ADDB7AE" w:rsidTr="6ADDB7AE" w14:paraId="6EF5F0F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DAAA45E" w14:textId="59F0E6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Empréstimos e financiamentos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17F674C" w14:textId="44ED50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94.801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E6949C0" w14:textId="42C2F8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precisão, apresentação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262CF18" w14:textId="3C2236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 – volume alto e moedas diferentes; classificação entre curto e longo prazo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EF0576D" w14:textId="046DF6C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93EF9EA" w14:textId="15508FB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74A0771" w14:textId="29ED57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330, 505</w:t>
            </w:r>
          </w:p>
        </w:tc>
      </w:tr>
      <w:tr w:rsidR="6ADDB7AE" w:rsidTr="6ADDB7AE" w14:paraId="5FC3E4BA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3636B67" w14:textId="543977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Derivativos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397ED06" w14:textId="04D049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 9.572 / Passivo 9.341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0777D4" w14:textId="36DFD5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Valorização, apresentação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A8DD047" w14:textId="6F2D36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 – valor justo, majoritariamente com dados observáveis (nível 2)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054C9F6" w14:textId="51A3FAE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B6B3F8D" w14:textId="10E5213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43701E7" w14:textId="7DB9E1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330, 540</w:t>
            </w:r>
          </w:p>
        </w:tc>
      </w:tr>
      <w:tr w:rsidR="6ADDB7AE" w:rsidTr="6ADDB7AE" w14:paraId="76BE67D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198EBA4" w14:textId="132FFA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Estoques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69D5689" w14:textId="300E26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8.156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44660E7" w14:textId="334414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02FAC25" w14:textId="253BEA1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 – unidades em vários locais; custo de produção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1F2A41D" w14:textId="6B1A9D3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0A0FC08" w14:textId="15D44FA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21204F0" w14:textId="1263E12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</w:t>
            </w:r>
          </w:p>
        </w:tc>
      </w:tr>
      <w:tr w:rsidR="6ADDB7AE" w:rsidTr="6ADDB7AE" w14:paraId="4C73D0C1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C8657B8" w14:textId="5B97D4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Contas a receber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FCC0C50" w14:textId="34F914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6.561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F9EE2B6" w14:textId="4E8478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EB6096D" w14:textId="2C5EA4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 – perda esperada com clientes no exterior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B9D3E85" w14:textId="00629EA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8E7B4DF" w14:textId="1DCB1D8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C949BBA" w14:textId="6051B6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505</w:t>
            </w:r>
          </w:p>
        </w:tc>
      </w:tr>
      <w:tr w:rsidR="6ADDB7AE" w:rsidTr="6ADDB7AE" w14:paraId="6C41A033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DE31F28" w14:textId="4CD9206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Fornecedores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63DDFDF" w14:textId="579416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5.141 (risco sacado: 439)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4768029" w14:textId="450BD8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Integridade, apresentação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2E07E06" w14:textId="187938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 – parte antecipada pelos fornecedores com bancos pode ser dívida disfarçada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96B6967" w14:textId="22458ED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B2ABE55" w14:textId="069479E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58BF9E0" w14:textId="7E7693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</w:t>
            </w:r>
          </w:p>
        </w:tc>
      </w:tr>
      <w:tr w:rsidR="6ADDB7AE" w:rsidTr="6ADDB7AE" w14:paraId="7F771E8B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74E75EA" w14:textId="585209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Arrendamentos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FFD19D9" w14:textId="0DEE6E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 5.332 / Passivo 6.930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7503F3B" w14:textId="287324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FC7FB27" w14:textId="7BC6B70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 – taxas e prazos dos contratos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ACAA544" w14:textId="59328AC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4440F04" w14:textId="1581DDE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3EA48C1" w14:textId="737A8FD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330</w:t>
            </w:r>
          </w:p>
        </w:tc>
      </w:tr>
      <w:tr w:rsidR="6ADDB7AE" w:rsidTr="6ADDB7AE" w14:paraId="79996E80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DA35507" w14:textId="288821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IR e CS diferidos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7D9D052" w14:textId="501EE8A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 1.504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5CCB7BB" w14:textId="2A3505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Valorização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D11CD3A" w14:textId="3D5DA8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S, I – recuperação depende de lucros futuros e de interpretações tributárias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CEEFDF4" w14:textId="788A98E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9F438C2" w14:textId="521CE87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6139836" w14:textId="10F2F5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540</w:t>
            </w:r>
          </w:p>
        </w:tc>
      </w:tr>
      <w:tr w:rsidR="6ADDB7AE" w:rsidTr="6ADDB7AE" w14:paraId="3F90F81F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B67A045" w14:textId="0C0EFC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Caixa e aplicações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51817F3" w14:textId="2DDB51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25.432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5FEA91A" w14:textId="2E8857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Existência, direitos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E3D9FEB" w14:textId="50DAF3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Baixa complexidade; confirmação bancária disponível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AC4E13B" w14:textId="55F98CF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BF06C65" w14:textId="58176B9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06E449D" w14:textId="4A20AA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505</w:t>
            </w:r>
          </w:p>
        </w:tc>
      </w:tr>
      <w:tr w:rsidR="6ADDB7AE" w:rsidTr="6ADDB7AE" w14:paraId="05FACA60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6A57F2B" w14:textId="55ABE2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Partes relacionadas</w:t>
            </w:r>
          </w:p>
        </w:tc>
        <w:tc>
          <w:tcPr>
            <w:tcW w:w="11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793BC4F" w14:textId="35EEAB5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 PT 550</w:t>
            </w:r>
          </w:p>
        </w:tc>
        <w:tc>
          <w:tcPr>
            <w:tcW w:w="13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C4F61E1" w14:textId="711389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 (divulgação)</w:t>
            </w:r>
          </w:p>
        </w:tc>
        <w:tc>
          <w:tcPr>
            <w:tcW w:w="30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CDAB377" w14:textId="153985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V – </w:t>
            </w:r>
            <w:bookmarkStart w:name="_Int_4vk7kvs6" w:id="327966609"/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omissão</w:t>
            </w:r>
            <w:bookmarkEnd w:id="327966609"/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possível</w:t>
            </w:r>
          </w:p>
        </w:tc>
        <w:tc>
          <w:tcPr>
            <w:tcW w:w="4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A88FDE6" w14:textId="35FEC1A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</w:t>
            </w:r>
          </w:p>
        </w:tc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377F8A9" w14:textId="2F4703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</w:t>
            </w:r>
          </w:p>
        </w:tc>
        <w:tc>
          <w:tcPr>
            <w:tcW w:w="9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E0A0386" w14:textId="101D30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550</w:t>
            </w:r>
          </w:p>
        </w:tc>
      </w:tr>
    </w:tbl>
    <w:p xmlns:wp14="http://schemas.microsoft.com/office/word/2010/wordml" w:rsidP="6ADDB7AE" wp14:paraId="131BEB3F" wp14:textId="57FC4D03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Fontes dos saldos: F1 p. 25–28, 109, 116 e 161. Saldo dos arrendamentos: 857,8 + 6.072,1. Caixa e aplicações: 15.179,8 + 9.932,8 + 319,7.</w:t>
      </w:r>
    </w:p>
    <w:p xmlns:wp14="http://schemas.microsoft.com/office/word/2010/wordml" w:rsidP="6ADDB7AE" wp14:paraId="79F94894" wp14:textId="692FDFA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Riscos significativos (item 32):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reconhecimento de receita (ocorrência e corte), valor justo dos ativos biológicos, provisões e contingências tributárias e burla de controles pela administração. Os dois do meio coincidem com os PAAs da PwC.</w:t>
      </w:r>
    </w:p>
    <w:p xmlns:wp14="http://schemas.microsoft.com/office/word/2010/wordml" w:rsidP="6ADDB7AE" wp14:paraId="40BE2EE4" wp14:textId="49C9385F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Procedimentos substantivos insuficientes (item 33):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 identificado com fontes públicas. A receita, por ter alto volume processado em sistemas, deve ser reavaliada se houver acesso aos controles de TI.</w:t>
      </w:r>
    </w:p>
    <w:p xmlns:wp14="http://schemas.microsoft.com/office/word/2010/wordml" w:rsidP="6ADDB7AE" wp14:paraId="7E4622DF" wp14:textId="73C15F7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6ADDB7AE" w:rsidTr="6ADDB7AE" w14:paraId="1DC1D659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E2AEC09" w14:textId="695399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5957AA4" w14:textId="6BF1F6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D5C1427" w14:textId="41AE70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6ADDB7AE" w:rsidTr="6ADDB7AE" w14:paraId="6F2D6A18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8C68824" w14:textId="77CA65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Leitura das notas, do relatório da administração e dos relatórios da governança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8A7F7F1" w14:textId="2F2286C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619EB28" w14:textId="599FBF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3 e 4</w:t>
            </w:r>
          </w:p>
        </w:tc>
      </w:tr>
      <w:tr w:rsidR="6ADDB7AE" w:rsidTr="6ADDB7AE" w14:paraId="45141BE8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18307B4" w14:textId="1CD731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Análise por segmento, mercado e conta para identificar riscos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68C1880" w14:textId="10C423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3015848" w14:textId="5705D3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5 e 6</w:t>
            </w:r>
          </w:p>
        </w:tc>
      </w:tr>
      <w:tr w:rsidR="6ADDB7AE" w:rsidTr="6ADDB7AE" w14:paraId="41EB2A9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C5BEB2F" w14:textId="00BE602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Indagações à administração, à auditoria interna e aos responsáveis pela governança (item 14)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022CA02A" w14:textId="2405DCC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0AAF6F3" w14:textId="58A513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6ADDB7AE" w:rsidTr="6ADDB7AE" w14:paraId="08D53648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8137037" w14:textId="04572A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Entendimento e teste dos controles gerais de TI e das atividades de controle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7C70E60" w14:textId="09BE59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BACD623" w14:textId="4CCEF5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265, 330</w:t>
            </w:r>
          </w:p>
        </w:tc>
      </w:tr>
      <w:tr w:rsidR="6ADDB7AE" w:rsidTr="6ADDB7AE" w14:paraId="1117E24E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9FAA427" w14:textId="46A1A4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Visitas às fábricas e às florestas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38A731D1" w14:textId="63CB64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1A11197" w14:textId="327255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501</w:t>
            </w:r>
          </w:p>
        </w:tc>
      </w:tr>
    </w:tbl>
    <w:p xmlns:wp14="http://schemas.microsoft.com/office/word/2010/wordml" w:rsidP="6ADDB7AE" wp14:paraId="47508ED6" wp14:textId="385F39F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6ADDB7AE" wp14:paraId="77164E09" wp14:textId="09AA756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Foram identificados quatro riscos significativos e treze contas ou divulgações com risco inerente moderado ou alto. O imobilizado, maior conta do ativo e objeto da base simulada, tem risco moderado. Sem exceções.</w:t>
      </w:r>
    </w:p>
    <w:p xmlns:wp14="http://schemas.microsoft.com/office/word/2010/wordml" w:rsidP="6ADDB7AE" wp14:paraId="0B3BCABF" wp14:textId="6B8A6579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Sem acesso aos controles, aos sistemas e às pessoas da Companhia: o risco de controle foi considerado máximo, o que torna as respostas do PT 330 essencialmente substantivas.</w:t>
      </w:r>
    </w:p>
    <w:p xmlns:wp14="http://schemas.microsoft.com/office/word/2010/wordml" w:rsidP="6ADDB7AE" wp14:paraId="4F849F14" wp14:textId="045A934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6ADDB7AE" w:rsidR="4193F0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 (fraude), PT 300 (estratégia), PT 320 (materialidade), PT 330 (respostas), PT 540 (estimativas), PT 550 (partes relacionadas) e PT 600 (grupo).</w:t>
      </w:r>
    </w:p>
    <w:p xmlns:wp14="http://schemas.microsoft.com/office/word/2010/wordml" w:rsidP="6ADDB7AE" wp14:paraId="7D8263F3" wp14:textId="041172D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6ADDB7AE" w:rsidR="4193F0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6ADDB7AE" w:rsidTr="6ADDB7AE" w14:paraId="588F8215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4CD58063" w14:textId="23625B3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6622205F" w14:textId="643EB21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5104E90A" w14:textId="63E68F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D7C90D5" w14:textId="22028D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6ADDB7AE" w:rsidR="6ADDB7A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6ADDB7AE" w:rsidTr="6ADDB7AE" w14:paraId="5D8452BA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11A33AE4" w14:textId="6CB2C2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1B39768" w14:textId="39C4FD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6ADDB7AE" w:rsidR="6ADDB7A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2C849CB0" w14:textId="02DD6C4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ADDB7AE" w:rsidP="6ADDB7AE" w:rsidRDefault="6ADDB7AE" w14:paraId="7D236004" w14:textId="4ED56E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6ADDB7AE" wp14:paraId="1E207724" wp14:textId="2973D7FD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8cf994b4db9410c"/>
      <w:footerReference w:type="default" r:id="Rb411b172c2c34e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DDB7AE" w:rsidTr="6ADDB7AE" w14:paraId="31351362">
      <w:trPr>
        <w:trHeight w:val="300"/>
      </w:trPr>
      <w:tc>
        <w:tcPr>
          <w:tcW w:w="3005" w:type="dxa"/>
          <w:tcMar/>
        </w:tcPr>
        <w:p w:rsidR="6ADDB7AE" w:rsidP="6ADDB7AE" w:rsidRDefault="6ADDB7AE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DDB7AE" w:rsidP="6ADDB7AE" w:rsidRDefault="6ADDB7AE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DDB7AE" w:rsidP="6ADDB7AE" w:rsidRDefault="6ADDB7AE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6ADDB7AE" w:rsidP="6ADDB7AE" w:rsidRDefault="6ADDB7AE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6ADDB7AE" w:rsidTr="6ADDB7AE" w14:paraId="48649118">
      <w:trPr>
        <w:trHeight w:val="300"/>
      </w:trPr>
      <w:tc>
        <w:tcPr>
          <w:tcW w:w="3005" w:type="dxa"/>
          <w:tcMar/>
        </w:tcPr>
        <w:p w:rsidR="6ADDB7AE" w:rsidP="6ADDB7AE" w:rsidRDefault="6ADDB7AE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6ADDB7AE" w:rsidP="6ADDB7AE" w:rsidRDefault="6ADDB7AE" w14:paraId="5B6C9BD4" w14:textId="785593F0">
          <w:pPr>
            <w:pStyle w:val="Header"/>
            <w:bidi w:val="0"/>
            <w:ind w:left="-115" w:right="90"/>
            <w:jc w:val="right"/>
          </w:pPr>
          <w:r w:rsidRPr="6ADDB7AE" w:rsidR="6ADDB7AE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6ADDB7AE" w:rsidR="6ADDB7AE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315</w:t>
          </w:r>
        </w:p>
      </w:tc>
    </w:tr>
  </w:tbl>
  <w:p w:rsidR="6ADDB7AE" w:rsidP="6ADDB7AE" w:rsidRDefault="6ADDB7AE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4vk7kvs6" int2:invalidationBookmarkName="" int2:hashCode="6EFFUsVuhbVfN2" int2:id="J1XMU3Zn">
      <int2:state int2:type="gram" int2:value="Rejected"/>
    </int2:bookmark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7F62E5"/>
    <w:rsid w:val="038540D8"/>
    <w:rsid w:val="05184C4B"/>
    <w:rsid w:val="059CB6AA"/>
    <w:rsid w:val="073EEE6D"/>
    <w:rsid w:val="08AE989A"/>
    <w:rsid w:val="09673444"/>
    <w:rsid w:val="0ABBD582"/>
    <w:rsid w:val="0D616FB3"/>
    <w:rsid w:val="0E30FB40"/>
    <w:rsid w:val="0E948883"/>
    <w:rsid w:val="12708081"/>
    <w:rsid w:val="131A14A3"/>
    <w:rsid w:val="13C18680"/>
    <w:rsid w:val="13EAC771"/>
    <w:rsid w:val="14BAA7E7"/>
    <w:rsid w:val="14E42F05"/>
    <w:rsid w:val="1883A56F"/>
    <w:rsid w:val="1884274B"/>
    <w:rsid w:val="19CD751C"/>
    <w:rsid w:val="19D6320C"/>
    <w:rsid w:val="1A8C2314"/>
    <w:rsid w:val="1A8C2314"/>
    <w:rsid w:val="1A9002EE"/>
    <w:rsid w:val="1B1160CE"/>
    <w:rsid w:val="1BE28AC6"/>
    <w:rsid w:val="1C0D7C78"/>
    <w:rsid w:val="1C57F14B"/>
    <w:rsid w:val="1C739363"/>
    <w:rsid w:val="1E0594DC"/>
    <w:rsid w:val="1E0594DC"/>
    <w:rsid w:val="1E1A72D4"/>
    <w:rsid w:val="1E2C74FD"/>
    <w:rsid w:val="1E50F5FE"/>
    <w:rsid w:val="2042C1AA"/>
    <w:rsid w:val="22198A17"/>
    <w:rsid w:val="24005765"/>
    <w:rsid w:val="25529155"/>
    <w:rsid w:val="2668DAE6"/>
    <w:rsid w:val="271F7ECF"/>
    <w:rsid w:val="2AC5FBB5"/>
    <w:rsid w:val="2B2AD0CC"/>
    <w:rsid w:val="2F627354"/>
    <w:rsid w:val="30B63283"/>
    <w:rsid w:val="310A644E"/>
    <w:rsid w:val="3144C377"/>
    <w:rsid w:val="321D0DD1"/>
    <w:rsid w:val="32FF3506"/>
    <w:rsid w:val="362D2E0B"/>
    <w:rsid w:val="36BB4CB8"/>
    <w:rsid w:val="37702721"/>
    <w:rsid w:val="37EC1079"/>
    <w:rsid w:val="381A9377"/>
    <w:rsid w:val="39068857"/>
    <w:rsid w:val="3930D397"/>
    <w:rsid w:val="3A534784"/>
    <w:rsid w:val="3A5EA17B"/>
    <w:rsid w:val="3ADE138A"/>
    <w:rsid w:val="3B21F213"/>
    <w:rsid w:val="3C38817C"/>
    <w:rsid w:val="3E6E76E0"/>
    <w:rsid w:val="3E7A4EB2"/>
    <w:rsid w:val="3F2E0EE4"/>
    <w:rsid w:val="3F6C80E0"/>
    <w:rsid w:val="4193F0B7"/>
    <w:rsid w:val="44E2F39A"/>
    <w:rsid w:val="44E75B3E"/>
    <w:rsid w:val="4571A110"/>
    <w:rsid w:val="458D3F8A"/>
    <w:rsid w:val="481BC9E5"/>
    <w:rsid w:val="48B878B7"/>
    <w:rsid w:val="499A6DA5"/>
    <w:rsid w:val="4A6CCC25"/>
    <w:rsid w:val="4C2BCC65"/>
    <w:rsid w:val="4C778481"/>
    <w:rsid w:val="4CB49A8C"/>
    <w:rsid w:val="4DEDACF9"/>
    <w:rsid w:val="4F27EE36"/>
    <w:rsid w:val="4FD42890"/>
    <w:rsid w:val="50E19BE1"/>
    <w:rsid w:val="51672B92"/>
    <w:rsid w:val="518F9E19"/>
    <w:rsid w:val="51DA259B"/>
    <w:rsid w:val="51DE326D"/>
    <w:rsid w:val="5344D2F2"/>
    <w:rsid w:val="54244B1B"/>
    <w:rsid w:val="542EB4C9"/>
    <w:rsid w:val="57801450"/>
    <w:rsid w:val="58225285"/>
    <w:rsid w:val="5833D511"/>
    <w:rsid w:val="5B2C69A3"/>
    <w:rsid w:val="5BC5AA9B"/>
    <w:rsid w:val="5C58FB2D"/>
    <w:rsid w:val="5C9C4987"/>
    <w:rsid w:val="5D2882FE"/>
    <w:rsid w:val="5D2931F0"/>
    <w:rsid w:val="5E2D2769"/>
    <w:rsid w:val="5F4BBD12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56EBC66"/>
    <w:rsid w:val="676B3C17"/>
    <w:rsid w:val="68147977"/>
    <w:rsid w:val="68156EEA"/>
    <w:rsid w:val="68156EEA"/>
    <w:rsid w:val="68BF71E0"/>
    <w:rsid w:val="6988F2A9"/>
    <w:rsid w:val="6A4994F7"/>
    <w:rsid w:val="6AAD1B46"/>
    <w:rsid w:val="6ADDB7AE"/>
    <w:rsid w:val="6B3C6FAB"/>
    <w:rsid w:val="6C6BB954"/>
    <w:rsid w:val="6C76A16F"/>
    <w:rsid w:val="6CD9F37B"/>
    <w:rsid w:val="6D5E6689"/>
    <w:rsid w:val="6E8E8995"/>
    <w:rsid w:val="6F10F671"/>
    <w:rsid w:val="70C8A8D8"/>
    <w:rsid w:val="7165B74A"/>
    <w:rsid w:val="71D6414C"/>
    <w:rsid w:val="727407FA"/>
    <w:rsid w:val="73E91AE4"/>
    <w:rsid w:val="759CB2A2"/>
    <w:rsid w:val="7641FD9E"/>
    <w:rsid w:val="77026C05"/>
    <w:rsid w:val="78309E6D"/>
    <w:rsid w:val="78A13169"/>
    <w:rsid w:val="7980DA60"/>
    <w:rsid w:val="79D8656B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ADDB7AE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DDB7A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ADDB7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DDB7A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ADDB7A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21/NBCTA315(R2)&amp;arquivo=NBCTA315(R2).doc&amp;_gl=1*1tnectm*_ga*NTgzMjIxNjUuMTc4NzUxODUzMg..*_ga_38VHCFH9HD*czE3OTI1MjI2MzYkbzgkZzAkdDE3OTI1MjI2MzYkajYwJGwwJGgw" TargetMode="External" Id="R89c08917331e4c42" /><Relationship Type="http://schemas.openxmlformats.org/officeDocument/2006/relationships/hyperlink" Target="https://www.rad.cvm.gov.br/ENETWEB/frmGerenciaPaginaFRE.aspx?NumeroSequencialDocumento=154674&amp;CodigoTipoInstituicao=1" TargetMode="External" Id="R373cf0c49cd14391" /><Relationship Type="http://schemas.openxmlformats.org/officeDocument/2006/relationships/hyperlink" Target="https://www2.cfc.org.br/sisweb/sre/detalhes_sre.aspx?Codigo=2021/NBCTA315(R2)&amp;arquivo=NBCTA315(R2).doc&amp;_gl=1*1tnectm*_ga*NTgzMjIxNjUuMTc4NzUxODUzMg..*_ga_38VHCFH9HD*czE3OTI1MjI2MzYkbzgkZzAkdDE3OTI1MjI2MzYkajYwJGwwJGgw" TargetMode="External" Id="Re2bbc55e003a41c6" /><Relationship Type="http://schemas.openxmlformats.org/officeDocument/2006/relationships/header" Target="header.xml" Id="Rc8cf994b4db9410c" /><Relationship Type="http://schemas.openxmlformats.org/officeDocument/2006/relationships/footer" Target="footer.xml" Id="Rb411b172c2c34e44" /><Relationship Type="http://schemas.microsoft.com/office/2020/10/relationships/intelligence" Target="intelligence2.xml" Id="Red00139503454854" /><Relationship Type="http://schemas.openxmlformats.org/officeDocument/2006/relationships/numbering" Target="numbering.xml" Id="R5ada509f66f34d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2026-10-20T19:06:20.6043516Z</dcterms:modified>
  <dc:creator>Gabriela Aparecida Parreira</dc:creator>
  <lastModifiedBy>Gabriela Aparecida Parreira</lastModifiedBy>
</coreProperties>
</file>