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CF6B933" wp14:paraId="2ED27E6B" wp14:textId="4D86D61F">
      <w:pPr>
        <w:bidi w:val="0"/>
        <w:spacing w:after="4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7F7F7F" w:themeColor="text1" w:themeTint="80" w:themeShade="FF"/>
          <w:sz w:val="15"/>
          <w:szCs w:val="15"/>
        </w:rPr>
      </w:pPr>
      <w:r w:rsidRPr="2CF6B933" w:rsidR="622CB40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7F7F7F" w:themeColor="text1" w:themeTint="80" w:themeShade="FF"/>
          <w:sz w:val="15"/>
          <w:szCs w:val="15"/>
        </w:rPr>
        <w:t xml:space="preserve">DOSSIÊ DE AUDITORIA </w:t>
      </w:r>
      <w:r w:rsidRPr="2CF6B933" w:rsidR="622CB40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7F7F7F" w:themeColor="text1" w:themeTint="80" w:themeShade="FF"/>
          <w:sz w:val="15"/>
          <w:szCs w:val="15"/>
        </w:rPr>
        <w:t>· SUZANO</w:t>
      </w:r>
      <w:r w:rsidRPr="2CF6B933" w:rsidR="622CB40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7F7F7F" w:themeColor="text1" w:themeTint="80" w:themeShade="FF"/>
          <w:sz w:val="15"/>
          <w:szCs w:val="15"/>
        </w:rPr>
        <w:t xml:space="preserve"> S.A.  · EXERCÍCIO 2025</w:t>
      </w:r>
    </w:p>
    <w:p xmlns:wp14="http://schemas.microsoft.com/office/word/2010/wordml" w:rsidP="2CF6B933" wp14:paraId="6478BBA7" wp14:textId="224CF469">
      <w:pPr>
        <w:bidi w:val="0"/>
        <w:spacing w:after="20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34"/>
          <w:szCs w:val="34"/>
        </w:rPr>
      </w:pPr>
      <w:r w:rsidRPr="2CF6B933" w:rsidR="622CB40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34"/>
          <w:szCs w:val="34"/>
        </w:rPr>
        <w:t xml:space="preserve">PT 550 - </w:t>
      </w:r>
      <w:r w:rsidRPr="2CF6B933" w:rsidR="622CB40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34"/>
          <w:szCs w:val="34"/>
        </w:rPr>
        <w:t>Parte</w:t>
      </w:r>
      <w:r w:rsidRPr="2CF6B933" w:rsidR="622CB408">
        <w:rPr>
          <w:rFonts w:ascii="Arial" w:hAnsi="Arial" w:eastAsia="Arial" w:cs="Arial" w:asciiTheme="minorAscii" w:hAnsiTheme="minorAscii" w:eastAsiaTheme="minorAscii" w:cstheme="minorBidi"/>
          <w:b w:val="1"/>
          <w:bCs w:val="1"/>
          <w:i w:val="0"/>
          <w:iCs w:val="0"/>
          <w:caps w:val="0"/>
          <w:smallCaps w:val="0"/>
          <w:color w:val="1F3864"/>
          <w:sz w:val="34"/>
          <w:szCs w:val="34"/>
          <w:lang w:eastAsia="en-US" w:bidi="ar-SA"/>
        </w:rPr>
        <w:t>s</w:t>
      </w:r>
      <w:r w:rsidRPr="2CF6B933" w:rsidR="622CB408">
        <w:rPr>
          <w:rFonts w:ascii="Arial" w:hAnsi="Arial" w:eastAsia="Arial" w:cs="Arial" w:asciiTheme="minorAscii" w:hAnsiTheme="minorAscii" w:eastAsiaTheme="minorAscii" w:cstheme="minorBidi"/>
          <w:b w:val="1"/>
          <w:bCs w:val="1"/>
          <w:i w:val="0"/>
          <w:iCs w:val="0"/>
          <w:caps w:val="0"/>
          <w:smallCaps w:val="0"/>
          <w:color w:val="1F3864"/>
          <w:sz w:val="34"/>
          <w:szCs w:val="34"/>
          <w:lang w:eastAsia="en-US" w:bidi="ar-SA"/>
        </w:rPr>
        <w:t xml:space="preserve"> relacionadas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590"/>
        <w:gridCol w:w="4395"/>
        <w:gridCol w:w="3630"/>
      </w:tblGrid>
      <w:tr w:rsidR="2CF6B933" w:rsidTr="2CF6B933" w14:paraId="77CB55D9">
        <w:trPr>
          <w:trHeight w:val="300"/>
        </w:trPr>
        <w:tc>
          <w:tcPr>
            <w:tcW w:w="1590" w:type="dxa"/>
            <w:tcBorders>
              <w:top w:val="nil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CF6B933" w:rsidP="2CF6B933" w:rsidRDefault="2CF6B933" w14:paraId="4730E06E" w14:textId="55659D90">
            <w:pPr>
              <w:bidi w:val="0"/>
              <w:spacing w:after="2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</w:pPr>
            <w:r w:rsidRPr="2CF6B933" w:rsidR="2CF6B93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  <w:t>CÓDIGO</w:t>
            </w:r>
          </w:p>
          <w:p w:rsidR="2CF6B933" w:rsidP="2CF6B933" w:rsidRDefault="2CF6B933" w14:paraId="74148CD7" w14:textId="7F038A16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</w:pPr>
            <w:r w:rsidRPr="2CF6B933" w:rsidR="2CF6B93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  <w:t>PT 550</w:t>
            </w:r>
          </w:p>
        </w:tc>
        <w:tc>
          <w:tcPr>
            <w:tcW w:w="4395" w:type="dxa"/>
            <w:tcBorders>
              <w:top w:val="nil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CF6B933" w:rsidP="2CF6B933" w:rsidRDefault="2CF6B933" w14:paraId="0E8819E8" w14:textId="7455BDEC">
            <w:pPr>
              <w:bidi w:val="0"/>
              <w:spacing w:after="2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</w:pPr>
            <w:r w:rsidRPr="2CF6B933" w:rsidR="2CF6B93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  <w:t>ENTIDADE</w:t>
            </w:r>
          </w:p>
          <w:p w:rsidR="2CF6B933" w:rsidP="2CF6B933" w:rsidRDefault="2CF6B933" w14:paraId="0D929B95" w14:textId="039F58C8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</w:pPr>
            <w:r w:rsidRPr="2CF6B933" w:rsidR="2CF6B93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  <w:t>Suzano S.A. (B3: SUZB3 · NYSE: SUZ)</w:t>
            </w:r>
          </w:p>
        </w:tc>
        <w:tc>
          <w:tcPr>
            <w:tcW w:w="3630" w:type="dxa"/>
            <w:tcBorders>
              <w:top w:val="nil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CF6B933" w:rsidP="2CF6B933" w:rsidRDefault="2CF6B933" w14:paraId="17B7B9A4" w14:textId="2F67A660">
            <w:pPr>
              <w:bidi w:val="0"/>
              <w:spacing w:after="2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</w:pPr>
            <w:r w:rsidRPr="2CF6B933" w:rsidR="2CF6B93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  <w:t>EXERCÍCIO</w:t>
            </w:r>
          </w:p>
          <w:p w:rsidR="2CF6B933" w:rsidP="2CF6B933" w:rsidRDefault="2CF6B933" w14:paraId="0880699D" w14:textId="3E93901F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</w:pPr>
            <w:r w:rsidRPr="2CF6B933" w:rsidR="2CF6B93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  <w:t>31/12/2025 (comparativo 31/12/2024)</w:t>
            </w:r>
          </w:p>
        </w:tc>
      </w:tr>
      <w:tr w:rsidR="2CF6B933" w:rsidTr="2CF6B933" w14:paraId="18B0DA33">
        <w:trPr>
          <w:trHeight w:val="300"/>
        </w:trPr>
        <w:tc>
          <w:tcPr>
            <w:tcW w:w="5985" w:type="dxa"/>
            <w:gridSpan w:val="2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CF6B933" w:rsidP="2CF6B933" w:rsidRDefault="2CF6B933" w14:paraId="729A5BF5" w14:textId="4B89618C">
            <w:pPr>
              <w:bidi w:val="0"/>
              <w:spacing w:after="2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</w:pPr>
            <w:r w:rsidRPr="2CF6B933" w:rsidR="2CF6B93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  <w:t>NORMA</w:t>
            </w:r>
          </w:p>
          <w:p w:rsidR="2CF6B933" w:rsidP="2CF6B933" w:rsidRDefault="2CF6B933" w14:paraId="124138DA" w14:textId="71405DB7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</w:pPr>
            <w:r w:rsidRPr="2CF6B933" w:rsidR="2CF6B93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  <w:t>NBC TA 550 – Partes relacionadas</w:t>
            </w:r>
          </w:p>
        </w:tc>
        <w:tc>
          <w:tcPr>
            <w:tcW w:w="363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CF6B933" w:rsidP="2CF6B933" w:rsidRDefault="2CF6B933" w14:paraId="41FF337A" w14:textId="7D1AFE06">
            <w:pPr>
              <w:bidi w:val="0"/>
              <w:spacing w:after="2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</w:pPr>
            <w:r w:rsidRPr="2CF6B933" w:rsidR="2CF6B93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  <w:t>ITENS UTILIZADOS</w:t>
            </w:r>
          </w:p>
          <w:p w:rsidR="2CF6B933" w:rsidP="2CF6B933" w:rsidRDefault="2CF6B933" w14:paraId="5498D357" w14:textId="192290F4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</w:pPr>
            <w:r w:rsidRPr="2CF6B933" w:rsidR="2CF6B93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  <w:t>11–17, 20–21, 23–27</w:t>
            </w:r>
          </w:p>
        </w:tc>
      </w:tr>
      <w:tr w:rsidR="2CF6B933" w:rsidTr="2CF6B933" w14:paraId="353D7827">
        <w:trPr>
          <w:trHeight w:val="300"/>
        </w:trPr>
        <w:tc>
          <w:tcPr>
            <w:tcW w:w="5985" w:type="dxa"/>
            <w:gridSpan w:val="2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CF6B933" w:rsidP="2CF6B933" w:rsidRDefault="2CF6B933" w14:paraId="51CF554B" w14:textId="0A554DEC">
            <w:pPr>
              <w:bidi w:val="0"/>
              <w:spacing w:after="2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</w:pPr>
            <w:r w:rsidRPr="2CF6B933" w:rsidR="2CF6B93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  <w:t>VERSÃO CONSULTADA</w:t>
            </w:r>
          </w:p>
          <w:p w:rsidR="2CF6B933" w:rsidP="2CF6B933" w:rsidRDefault="2CF6B933" w14:paraId="0042EB06" w14:textId="66DBD294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</w:pPr>
            <w:r w:rsidRPr="2CF6B933" w:rsidR="2CF6B93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  <w:t xml:space="preserve">NBC TA 550 (Resolução CFC nº 1.224/2009) – CFC, acesso em 22/10/2026: </w:t>
            </w:r>
            <w:hyperlink r:id="R0d21d88aeb0b4424">
              <w:r w:rsidRPr="2CF6B933" w:rsidR="399B4EB3">
                <w:rPr>
                  <w:rStyle w:val="Hyperlink"/>
                  <w:rFonts w:ascii="Arial" w:hAnsi="Arial" w:eastAsia="Arial" w:cs="Arial"/>
                  <w:b w:val="0"/>
                  <w:bCs w:val="0"/>
                  <w:i w:val="0"/>
                  <w:iCs w:val="0"/>
                  <w:sz w:val="18"/>
                  <w:szCs w:val="18"/>
                </w:rPr>
                <w:t>NBC TA 550</w:t>
              </w:r>
            </w:hyperlink>
          </w:p>
        </w:tc>
        <w:tc>
          <w:tcPr>
            <w:tcW w:w="363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CF6B933" w:rsidP="2CF6B933" w:rsidRDefault="2CF6B933" w14:paraId="6C06A86E" w14:textId="60DF8A30">
            <w:pPr>
              <w:bidi w:val="0"/>
              <w:spacing w:after="2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</w:pPr>
            <w:r w:rsidRPr="2CF6B933" w:rsidR="2CF6B93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  <w:t>STATUS</w:t>
            </w:r>
          </w:p>
          <w:p w:rsidR="2CF6B933" w:rsidP="2CF6B933" w:rsidRDefault="2CF6B933" w14:paraId="6347F188" w14:textId="3434F482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</w:pPr>
            <w:r w:rsidRPr="2CF6B933" w:rsidR="2CF6B93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  <w:t>Entendimento e análise com evidência pública; testes planejados</w:t>
            </w:r>
          </w:p>
        </w:tc>
      </w:tr>
    </w:tbl>
    <w:p xmlns:wp14="http://schemas.microsoft.com/office/word/2010/wordml" w:rsidP="2CF6B933" wp14:paraId="1C37A443" wp14:textId="65D1A4F7">
      <w:pPr>
        <w:bidi w:val="0"/>
        <w:spacing w:after="10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</w:p>
    <w:p xmlns:wp14="http://schemas.microsoft.com/office/word/2010/wordml" w:rsidP="2CF6B933" wp14:paraId="283F799B" wp14:textId="45DFDF2C">
      <w:pPr>
        <w:bidi w:val="0"/>
        <w:spacing w:after="0" w:line="264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7"/>
          <w:szCs w:val="17"/>
        </w:rPr>
      </w:pPr>
      <w:r w:rsidRPr="2CF6B933" w:rsidR="622CB40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 xml:space="preserve">Natureza do PT. </w:t>
      </w:r>
      <w:r w:rsidRPr="2CF6B933" w:rsidR="622CB40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7"/>
          <w:szCs w:val="17"/>
        </w:rPr>
        <w:t>Trabalho acadêmico com dados públicos reais. Não houve indagação à administração nem acesso a contratos. Valores em R$ mil; a nota 11 é apresentada na controladora, onde as transações com controladas aparecem antes da eliminação. Sem dados simulados.</w:t>
      </w:r>
    </w:p>
    <w:p xmlns:wp14="http://schemas.microsoft.com/office/word/2010/wordml" w:rsidP="2CF6B933" wp14:paraId="5D46BFAA" wp14:textId="7583823D">
      <w:pPr>
        <w:keepNext w:val="1"/>
        <w:pBdr>
          <w:bottom w:val="single" w:color="BFBFBF" w:sz="4" w:space="3"/>
        </w:pBdr>
        <w:bidi w:val="0"/>
        <w:spacing w:before="280"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1F3864"/>
          <w:sz w:val="20"/>
          <w:szCs w:val="20"/>
        </w:rPr>
      </w:pPr>
      <w:r w:rsidRPr="2CF6B933" w:rsidR="622CB40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7F7F7F" w:themeColor="text1" w:themeTint="80" w:themeShade="FF"/>
          <w:sz w:val="20"/>
          <w:szCs w:val="20"/>
        </w:rPr>
        <w:t xml:space="preserve">1   </w:t>
      </w:r>
      <w:r w:rsidRPr="2CF6B933" w:rsidR="622CB40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20"/>
          <w:szCs w:val="20"/>
        </w:rPr>
        <w:t>OBJETIVO E OBJETO</w:t>
      </w:r>
    </w:p>
    <w:p xmlns:wp14="http://schemas.microsoft.com/office/word/2010/wordml" w:rsidP="2CF6B933" wp14:paraId="59C6F540" wp14:textId="72877A6D">
      <w:pPr>
        <w:bidi w:val="0"/>
        <w:spacing w:after="10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2CF6B933" w:rsidR="622CB40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Entender as relações e transações com partes relacionadas para identificar riscos de distorção e de fraude, e verificar se estão adequadamente contabilizadas e divulgadas (CPC 05) e se não há transações fora do curso normal dos negócios (itens 9, 11–17 e 23–25).</w:t>
      </w:r>
    </w:p>
    <w:p xmlns:wp14="http://schemas.microsoft.com/office/word/2010/wordml" w:rsidP="2CF6B933" wp14:paraId="326B7CF4" wp14:textId="6898813F">
      <w:pPr>
        <w:bidi w:val="0"/>
        <w:spacing w:after="10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2CF6B933" w:rsidR="622CB40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 xml:space="preserve">Por que importa: </w:t>
      </w:r>
      <w:r w:rsidRPr="2CF6B933" w:rsidR="622CB40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transações com partes relacionadas podem não ocorrer em condições de mercado e são meio comum de fraude e de transferência de resultados entre empresas do grupo.</w:t>
      </w:r>
    </w:p>
    <w:p xmlns:wp14="http://schemas.microsoft.com/office/word/2010/wordml" w:rsidP="2CF6B933" wp14:paraId="0F5E977E" wp14:textId="54303C99">
      <w:pPr>
        <w:keepNext w:val="1"/>
        <w:pBdr>
          <w:bottom w:val="single" w:color="BFBFBF" w:sz="4" w:space="3"/>
        </w:pBdr>
        <w:bidi w:val="0"/>
        <w:spacing w:before="280"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1F3864"/>
          <w:sz w:val="20"/>
          <w:szCs w:val="20"/>
        </w:rPr>
      </w:pPr>
      <w:r w:rsidRPr="2CF6B933" w:rsidR="622CB40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7F7F7F" w:themeColor="text1" w:themeTint="80" w:themeShade="FF"/>
          <w:sz w:val="20"/>
          <w:szCs w:val="20"/>
        </w:rPr>
        <w:t xml:space="preserve">2   </w:t>
      </w:r>
      <w:r w:rsidRPr="2CF6B933" w:rsidR="622CB40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20"/>
          <w:szCs w:val="20"/>
        </w:rPr>
        <w:t>FONTES E CRITÉRIOS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540"/>
        <w:gridCol w:w="5336"/>
        <w:gridCol w:w="1118"/>
        <w:gridCol w:w="2621"/>
      </w:tblGrid>
      <w:tr w:rsidR="2CF6B933" w:rsidTr="2CF6B933" w14:paraId="47CC5752">
        <w:trPr>
          <w:trHeight w:val="300"/>
        </w:trPr>
        <w:tc>
          <w:tcPr>
            <w:tcW w:w="54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CF6B933" w:rsidP="2CF6B933" w:rsidRDefault="2CF6B933" w14:paraId="0B086D2D" w14:textId="2EC7E885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2CF6B933" w:rsidR="2CF6B933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Ref.</w:t>
            </w:r>
          </w:p>
        </w:tc>
        <w:tc>
          <w:tcPr>
            <w:tcW w:w="5336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CF6B933" w:rsidP="2CF6B933" w:rsidRDefault="2CF6B933" w14:paraId="4705F037" w14:textId="42C92D54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2CF6B933" w:rsidR="2CF6B933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Documento e endereço</w:t>
            </w:r>
          </w:p>
        </w:tc>
        <w:tc>
          <w:tcPr>
            <w:tcW w:w="1118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CF6B933" w:rsidP="2CF6B933" w:rsidRDefault="2CF6B933" w14:paraId="5D76C825" w14:textId="596DD764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2CF6B933" w:rsidR="2CF6B933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Acesso</w:t>
            </w:r>
          </w:p>
        </w:tc>
        <w:tc>
          <w:tcPr>
            <w:tcW w:w="2621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CF6B933" w:rsidP="2CF6B933" w:rsidRDefault="2CF6B933" w14:paraId="523F1579" w14:textId="001F7205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2CF6B933" w:rsidR="2CF6B933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Páginas</w:t>
            </w:r>
          </w:p>
        </w:tc>
      </w:tr>
      <w:tr w:rsidR="2CF6B933" w:rsidTr="2CF6B933" w14:paraId="466BFB36">
        <w:trPr>
          <w:trHeight w:val="300"/>
        </w:trPr>
        <w:tc>
          <w:tcPr>
            <w:tcW w:w="540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CF6B933" w:rsidP="2CF6B933" w:rsidRDefault="2CF6B933" w14:paraId="667631E0" w14:textId="4D8FD272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CF6B933" w:rsidR="2CF6B93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F1</w:t>
            </w:r>
          </w:p>
        </w:tc>
        <w:tc>
          <w:tcPr>
            <w:tcW w:w="5336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CF6B933" w:rsidP="2CF6B933" w:rsidRDefault="2CF6B933" w14:paraId="537E6E9A" w14:textId="1E83CD7C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CF6B933" w:rsidR="2CF6B93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 xml:space="preserve">DFP 31/12/2025 – CVM/RAD: </w:t>
            </w:r>
            <w:hyperlink r:id="R20a7b3dd3c3d476f">
              <w:r w:rsidRPr="2CF6B933" w:rsidR="13519900">
                <w:rPr>
                  <w:rStyle w:val="Hyperlink"/>
                  <w:rFonts w:ascii="Arial" w:hAnsi="Arial" w:eastAsia="Arial" w:cs="Arial"/>
                  <w:b w:val="0"/>
                  <w:bCs w:val="0"/>
                  <w:i w:val="0"/>
                  <w:iCs w:val="0"/>
                  <w:sz w:val="18"/>
                  <w:szCs w:val="18"/>
                </w:rPr>
                <w:t>DFP</w:t>
              </w:r>
            </w:hyperlink>
          </w:p>
        </w:tc>
        <w:tc>
          <w:tcPr>
            <w:tcW w:w="1118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CF6B933" w:rsidP="2CF6B933" w:rsidRDefault="2CF6B933" w14:paraId="2EF44667" w14:textId="382E3FD3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CF6B933" w:rsidR="2CF6B93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20/10/2026</w:t>
            </w:r>
          </w:p>
        </w:tc>
        <w:tc>
          <w:tcPr>
            <w:tcW w:w="2621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CF6B933" w:rsidP="2CF6B933" w:rsidRDefault="2CF6B933" w14:paraId="26138478" w14:textId="1574BBB2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CF6B933" w:rsidR="2CF6B93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p. 144–149 (nota 11)</w:t>
            </w:r>
          </w:p>
        </w:tc>
      </w:tr>
      <w:tr w:rsidR="2CF6B933" w:rsidTr="2CF6B933" w14:paraId="5593CCCA">
        <w:trPr>
          <w:trHeight w:val="300"/>
        </w:trPr>
        <w:tc>
          <w:tcPr>
            <w:tcW w:w="54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CF6B933" w:rsidP="2CF6B933" w:rsidRDefault="2CF6B933" w14:paraId="39951E73" w14:textId="0558C7F2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CF6B933" w:rsidR="2CF6B93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F2</w:t>
            </w:r>
          </w:p>
        </w:tc>
        <w:tc>
          <w:tcPr>
            <w:tcW w:w="5336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CF6B933" w:rsidP="2CF6B933" w:rsidRDefault="2CF6B933" w14:paraId="40DC8181" w14:textId="0EE7CAFA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CF6B933" w:rsidR="2CF6B93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 xml:space="preserve">NBC TA 550 – CFC: </w:t>
            </w:r>
            <w:hyperlink r:id="R586fa103dfbe4b4b">
              <w:r w:rsidRPr="2CF6B933" w:rsidR="478AB285">
                <w:rPr>
                  <w:rStyle w:val="Hyperlink"/>
                  <w:rFonts w:ascii="Arial" w:hAnsi="Arial" w:eastAsia="Arial" w:cs="Arial"/>
                  <w:b w:val="0"/>
                  <w:bCs w:val="0"/>
                  <w:i w:val="0"/>
                  <w:iCs w:val="0"/>
                  <w:sz w:val="18"/>
                  <w:szCs w:val="18"/>
                </w:rPr>
                <w:t>NBC TA 550</w:t>
              </w:r>
            </w:hyperlink>
          </w:p>
        </w:tc>
        <w:tc>
          <w:tcPr>
            <w:tcW w:w="1118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CF6B933" w:rsidP="2CF6B933" w:rsidRDefault="2CF6B933" w14:paraId="25CC204A" w14:textId="3E586892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CF6B933" w:rsidR="2CF6B93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22/10/2026</w:t>
            </w:r>
          </w:p>
        </w:tc>
        <w:tc>
          <w:tcPr>
            <w:tcW w:w="2621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CF6B933" w:rsidP="2CF6B933" w:rsidRDefault="2CF6B933" w14:paraId="76250383" w14:textId="149628B9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CF6B933" w:rsidR="2CF6B93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Itens 1–28</w:t>
            </w:r>
          </w:p>
        </w:tc>
      </w:tr>
      <w:tr w:rsidR="2CF6B933" w:rsidTr="2CF6B933" w14:paraId="5A1C99B7">
        <w:trPr>
          <w:trHeight w:val="300"/>
        </w:trPr>
        <w:tc>
          <w:tcPr>
            <w:tcW w:w="540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CF6B933" w:rsidP="2CF6B933" w:rsidRDefault="2CF6B933" w14:paraId="6E463369" w14:textId="2203C7B3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CF6B933" w:rsidR="2CF6B93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F3</w:t>
            </w:r>
          </w:p>
        </w:tc>
        <w:tc>
          <w:tcPr>
            <w:tcW w:w="5336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CF6B933" w:rsidP="2CF6B933" w:rsidRDefault="2CF6B933" w14:paraId="5053139D" w14:textId="3C18BD38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CF6B933" w:rsidR="2CF6B93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 xml:space="preserve">Formulário de Referência 2026, v. 5 – RI Suzano: </w:t>
            </w:r>
            <w:hyperlink r:id="Rfd52aa7f8dc44ca8">
              <w:r w:rsidRPr="2CF6B933" w:rsidR="244A73F0">
                <w:rPr>
                  <w:rStyle w:val="Hyperlink"/>
                  <w:rFonts w:ascii="Arial" w:hAnsi="Arial" w:eastAsia="Arial" w:cs="Arial"/>
                  <w:b w:val="0"/>
                  <w:bCs w:val="0"/>
                  <w:i w:val="0"/>
                  <w:iCs w:val="0"/>
                  <w:sz w:val="18"/>
                  <w:szCs w:val="18"/>
                </w:rPr>
                <w:t>Formulário de Referência</w:t>
              </w:r>
            </w:hyperlink>
          </w:p>
        </w:tc>
        <w:tc>
          <w:tcPr>
            <w:tcW w:w="1118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CF6B933" w:rsidP="2CF6B933" w:rsidRDefault="2CF6B933" w14:paraId="2CA4017C" w14:textId="7D19E7FE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CF6B933" w:rsidR="2CF6B93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22/10/2026</w:t>
            </w:r>
          </w:p>
        </w:tc>
        <w:tc>
          <w:tcPr>
            <w:tcW w:w="2621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CF6B933" w:rsidP="2CF6B933" w:rsidRDefault="2CF6B933" w14:paraId="4A9E2268" w14:textId="5A14E63A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CF6B933" w:rsidR="2CF6B93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p. 150 (controle), 387–388 (política), 389–444 (transações)</w:t>
            </w:r>
          </w:p>
        </w:tc>
      </w:tr>
    </w:tbl>
    <w:p xmlns:wp14="http://schemas.microsoft.com/office/word/2010/wordml" w:rsidP="2CF6B933" wp14:paraId="3D0ABE97" wp14:textId="5611FEC3">
      <w:pPr>
        <w:keepNext w:val="1"/>
        <w:pBdr>
          <w:bottom w:val="single" w:color="BFBFBF" w:sz="4" w:space="3"/>
        </w:pBdr>
        <w:bidi w:val="0"/>
        <w:spacing w:before="280"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1F3864"/>
          <w:sz w:val="20"/>
          <w:szCs w:val="20"/>
        </w:rPr>
      </w:pPr>
      <w:r w:rsidRPr="2CF6B933" w:rsidR="622CB40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7F7F7F" w:themeColor="text1" w:themeTint="80" w:themeShade="FF"/>
          <w:sz w:val="20"/>
          <w:szCs w:val="20"/>
        </w:rPr>
        <w:t xml:space="preserve">3   </w:t>
      </w:r>
      <w:r w:rsidRPr="2CF6B933" w:rsidR="622CB40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20"/>
          <w:szCs w:val="20"/>
        </w:rPr>
        <w:t>ENTENDIMENTO (ITENS 11–17)</w:t>
      </w:r>
    </w:p>
    <w:p xmlns:wp14="http://schemas.microsoft.com/office/word/2010/wordml" w:rsidP="2CF6B933" wp14:paraId="6C2AC2DA" wp14:textId="043C33B9">
      <w:pPr>
        <w:pStyle w:val="ListParagraph"/>
        <w:numPr>
          <w:ilvl w:val="0"/>
          <w:numId w:val="17"/>
        </w:numPr>
        <w:bidi w:val="0"/>
        <w:spacing w:after="6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2CF6B933" w:rsidR="622CB40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 xml:space="preserve">Controle: </w:t>
      </w:r>
      <w:r w:rsidRPr="2CF6B933" w:rsidR="622CB40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Suzano Holding S.A. e a família controladora; controladores, partes relacionadas e administração detêm 50,4% das ações (F3 p. 150).</w:t>
      </w:r>
    </w:p>
    <w:p xmlns:wp14="http://schemas.microsoft.com/office/word/2010/wordml" w:rsidP="2CF6B933" wp14:paraId="39630B7E" wp14:textId="2F9DD489">
      <w:pPr>
        <w:pStyle w:val="ListParagraph"/>
        <w:numPr>
          <w:ilvl w:val="0"/>
          <w:numId w:val="17"/>
        </w:numPr>
        <w:bidi w:val="0"/>
        <w:spacing w:after="6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2CF6B933" w:rsidR="622CB40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 xml:space="preserve">Política e controles: </w:t>
      </w:r>
      <w:r w:rsidRPr="2CF6B933" w:rsidR="622CB40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Política de Partes Relacionadas aprovada pelo Conselho (2019, revista em 2023); Comissão de Partes Relacionadas emite parecer prévio; transações acima de R$ 50 milhões ou de 1% do ativo exigem aprovação do Conselho; divergências vão ao Comitê de Auditoria (F3 p. 387–388).</w:t>
      </w:r>
    </w:p>
    <w:p xmlns:wp14="http://schemas.microsoft.com/office/word/2010/wordml" w:rsidP="2CF6B933" wp14:paraId="28FA8E0A" wp14:textId="1541A56E">
      <w:pPr>
        <w:pStyle w:val="ListParagraph"/>
        <w:numPr>
          <w:ilvl w:val="0"/>
          <w:numId w:val="17"/>
        </w:numPr>
        <w:bidi w:val="0"/>
        <w:spacing w:after="6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2CF6B933" w:rsidR="622CB40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 xml:space="preserve">Natureza das transações: </w:t>
      </w:r>
      <w:r w:rsidRPr="2CF6B933" w:rsidR="622CB40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vendas de celulose e papel a controladas no exterior e à coligada Ibema; mútuos com controladas financeiras; serviços portuários e de transporte; dividendos aos controladores. A administração declara que não houve transações novas ou de natureza diferente em 2025 (F1 p. 144).</w:t>
      </w:r>
    </w:p>
    <w:p xmlns:wp14="http://schemas.microsoft.com/office/word/2010/wordml" w:rsidP="2CF6B933" wp14:paraId="64BAF260" wp14:textId="0007E651">
      <w:pPr>
        <w:keepNext w:val="1"/>
        <w:pBdr>
          <w:bottom w:val="single" w:color="BFBFBF" w:sz="4" w:space="3"/>
        </w:pBdr>
        <w:bidi w:val="0"/>
        <w:spacing w:before="280" w:after="120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1F3864"/>
          <w:sz w:val="20"/>
          <w:szCs w:val="20"/>
        </w:rPr>
      </w:pPr>
      <w:r w:rsidRPr="2CF6B933" w:rsidR="622CB40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7F7F7F" w:themeColor="text1" w:themeTint="80" w:themeShade="FF"/>
          <w:sz w:val="20"/>
          <w:szCs w:val="20"/>
        </w:rPr>
        <w:t xml:space="preserve">4   </w:t>
      </w:r>
      <w:r w:rsidRPr="2CF6B933" w:rsidR="622CB40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20"/>
          <w:szCs w:val="20"/>
        </w:rPr>
        <w:t>SALDOS E TRANSAÇÕES RELEVANTES (CONTROLADORA)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2895"/>
        <w:gridCol w:w="1395"/>
        <w:gridCol w:w="1485"/>
        <w:gridCol w:w="1890"/>
        <w:gridCol w:w="1935"/>
      </w:tblGrid>
      <w:tr w:rsidR="2CF6B933" w:rsidTr="2CF6B933" w14:paraId="2986F771">
        <w:trPr>
          <w:trHeight w:val="300"/>
        </w:trPr>
        <w:tc>
          <w:tcPr>
            <w:tcW w:w="289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CF6B933" w:rsidP="2CF6B933" w:rsidRDefault="2CF6B933" w14:paraId="2573DE2C" w14:textId="6D079F2E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2CF6B933" w:rsidR="2CF6B933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Parte relacionada</w:t>
            </w:r>
          </w:p>
        </w:tc>
        <w:tc>
          <w:tcPr>
            <w:tcW w:w="139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CF6B933" w:rsidP="2CF6B933" w:rsidRDefault="2CF6B933" w14:paraId="47E6C599" w14:textId="60BF8F65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2CF6B933" w:rsidR="2CF6B933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Ativo 2025</w:t>
            </w:r>
          </w:p>
        </w:tc>
        <w:tc>
          <w:tcPr>
            <w:tcW w:w="148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CF6B933" w:rsidP="2CF6B933" w:rsidRDefault="2CF6B933" w14:paraId="242AB665" w14:textId="3F7BBB50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2CF6B933" w:rsidR="2CF6B933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Passivo 2025</w:t>
            </w:r>
          </w:p>
        </w:tc>
        <w:tc>
          <w:tcPr>
            <w:tcW w:w="189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CF6B933" w:rsidP="2CF6B933" w:rsidRDefault="2CF6B933" w14:paraId="76E568A8" w14:textId="18B73998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2CF6B933" w:rsidR="2CF6B933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Resultado 2025</w:t>
            </w:r>
          </w:p>
        </w:tc>
        <w:tc>
          <w:tcPr>
            <w:tcW w:w="193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CF6B933" w:rsidP="2CF6B933" w:rsidRDefault="2CF6B933" w14:paraId="4889177C" w14:textId="4993484F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2CF6B933" w:rsidR="2CF6B933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Natureza</w:t>
            </w:r>
          </w:p>
        </w:tc>
      </w:tr>
      <w:tr w:rsidR="2CF6B933" w:rsidTr="2CF6B933" w14:paraId="71BC4998">
        <w:trPr>
          <w:trHeight w:val="300"/>
        </w:trPr>
        <w:tc>
          <w:tcPr>
            <w:tcW w:w="289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CF6B933" w:rsidP="2CF6B933" w:rsidRDefault="2CF6B933" w14:paraId="70B02944" w14:textId="19133BE8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CF6B933" w:rsidR="2CF6B933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Suzano International Trading GmbH</w:t>
            </w:r>
          </w:p>
        </w:tc>
        <w:tc>
          <w:tcPr>
            <w:tcW w:w="139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CF6B933" w:rsidP="2CF6B933" w:rsidRDefault="2CF6B933" w14:paraId="13D6CC88" w14:textId="1B9B09A9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CF6B933" w:rsidR="2CF6B93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6.297.405</w:t>
            </w:r>
          </w:p>
        </w:tc>
        <w:tc>
          <w:tcPr>
            <w:tcW w:w="148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CF6B933" w:rsidP="2CF6B933" w:rsidRDefault="2CF6B933" w14:paraId="78A030FA" w14:textId="47C61410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CF6B933" w:rsidR="2CF6B93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(7.571.923)</w:t>
            </w:r>
          </w:p>
        </w:tc>
        <w:tc>
          <w:tcPr>
            <w:tcW w:w="1890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CF6B933" w:rsidP="2CF6B933" w:rsidRDefault="2CF6B933" w14:paraId="54935EE6" w14:textId="5E9E9739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CF6B933" w:rsidR="2CF6B93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Operacional 20.424.253</w:t>
            </w:r>
          </w:p>
        </w:tc>
        <w:tc>
          <w:tcPr>
            <w:tcW w:w="193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CF6B933" w:rsidP="2CF6B933" w:rsidRDefault="2CF6B933" w14:paraId="39FE47C5" w14:textId="73B43042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CF6B933" w:rsidR="2CF6B93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Vendas e mútuo</w:t>
            </w:r>
          </w:p>
        </w:tc>
      </w:tr>
      <w:tr w:rsidR="2CF6B933" w:rsidTr="2CF6B933" w14:paraId="104F43A4">
        <w:trPr>
          <w:trHeight w:val="300"/>
        </w:trPr>
        <w:tc>
          <w:tcPr>
            <w:tcW w:w="28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CF6B933" w:rsidP="2CF6B933" w:rsidRDefault="2CF6B933" w14:paraId="7B2A4043" w14:textId="774A1882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CF6B933" w:rsidR="2CF6B933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Fibria Celulose (U.S.A.) Inc.</w:t>
            </w:r>
          </w:p>
        </w:tc>
        <w:tc>
          <w:tcPr>
            <w:tcW w:w="13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CF6B933" w:rsidP="2CF6B933" w:rsidRDefault="2CF6B933" w14:paraId="2013628A" w14:textId="00FF90D8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CF6B933" w:rsidR="2CF6B93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1.976.294</w:t>
            </w:r>
          </w:p>
        </w:tc>
        <w:tc>
          <w:tcPr>
            <w:tcW w:w="148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CF6B933" w:rsidP="2CF6B933" w:rsidRDefault="2CF6B933" w14:paraId="20B3C819" w14:textId="5333FB83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CF6B933" w:rsidR="2CF6B93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—</w:t>
            </w:r>
          </w:p>
        </w:tc>
        <w:tc>
          <w:tcPr>
            <w:tcW w:w="18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CF6B933" w:rsidP="2CF6B933" w:rsidRDefault="2CF6B933" w14:paraId="4301BD9A" w14:textId="08D8FC91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CF6B933" w:rsidR="2CF6B93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Operacional 5.591.480</w:t>
            </w:r>
          </w:p>
        </w:tc>
        <w:tc>
          <w:tcPr>
            <w:tcW w:w="193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CF6B933" w:rsidP="2CF6B933" w:rsidRDefault="2CF6B933" w14:paraId="40371DAA" w14:textId="4C58EA0D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CF6B933" w:rsidR="2CF6B93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Vendas</w:t>
            </w:r>
          </w:p>
        </w:tc>
      </w:tr>
      <w:tr w:rsidR="2CF6B933" w:rsidTr="2CF6B933" w14:paraId="725E9BBB">
        <w:trPr>
          <w:trHeight w:val="300"/>
        </w:trPr>
        <w:tc>
          <w:tcPr>
            <w:tcW w:w="28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CF6B933" w:rsidP="2CF6B933" w:rsidRDefault="2CF6B933" w14:paraId="50849C8B" w14:textId="219DB488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CF6B933" w:rsidR="2CF6B933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Suzano Shanghai Ltd.</w:t>
            </w:r>
          </w:p>
        </w:tc>
        <w:tc>
          <w:tcPr>
            <w:tcW w:w="13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CF6B933" w:rsidP="2CF6B933" w:rsidRDefault="2CF6B933" w14:paraId="6743A41C" w14:textId="2A60F822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CF6B933" w:rsidR="2CF6B93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1.339.133</w:t>
            </w:r>
          </w:p>
        </w:tc>
        <w:tc>
          <w:tcPr>
            <w:tcW w:w="148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CF6B933" w:rsidP="2CF6B933" w:rsidRDefault="2CF6B933" w14:paraId="7D82573F" w14:textId="6C450AC2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CF6B933" w:rsidR="2CF6B93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—</w:t>
            </w:r>
          </w:p>
        </w:tc>
        <w:tc>
          <w:tcPr>
            <w:tcW w:w="18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CF6B933" w:rsidP="2CF6B933" w:rsidRDefault="2CF6B933" w14:paraId="4FAE7524" w14:textId="6920DFD8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CF6B933" w:rsidR="2CF6B93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Operacional 4.874.006</w:t>
            </w:r>
          </w:p>
        </w:tc>
        <w:tc>
          <w:tcPr>
            <w:tcW w:w="193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CF6B933" w:rsidP="2CF6B933" w:rsidRDefault="2CF6B933" w14:paraId="4A2CA1BC" w14:textId="64D25160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CF6B933" w:rsidR="2CF6B93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Vendas</w:t>
            </w:r>
          </w:p>
        </w:tc>
      </w:tr>
      <w:tr w:rsidR="2CF6B933" w:rsidTr="2CF6B933" w14:paraId="2C0C321C">
        <w:trPr>
          <w:trHeight w:val="300"/>
        </w:trPr>
        <w:tc>
          <w:tcPr>
            <w:tcW w:w="28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CF6B933" w:rsidP="2CF6B933" w:rsidRDefault="2CF6B933" w14:paraId="3E8ED259" w14:textId="5A781BBE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CF6B933" w:rsidR="2CF6B933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Suzano Austria GmbH</w:t>
            </w:r>
          </w:p>
        </w:tc>
        <w:tc>
          <w:tcPr>
            <w:tcW w:w="13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CF6B933" w:rsidP="2CF6B933" w:rsidRDefault="2CF6B933" w14:paraId="78618806" w14:textId="03C206C9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CF6B933" w:rsidR="2CF6B93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—</w:t>
            </w:r>
          </w:p>
        </w:tc>
        <w:tc>
          <w:tcPr>
            <w:tcW w:w="148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CF6B933" w:rsidP="2CF6B933" w:rsidRDefault="2CF6B933" w14:paraId="293F32B2" w14:textId="04827BE8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CF6B933" w:rsidR="2CF6B93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(36.880.870)</w:t>
            </w:r>
          </w:p>
        </w:tc>
        <w:tc>
          <w:tcPr>
            <w:tcW w:w="18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CF6B933" w:rsidP="2CF6B933" w:rsidRDefault="2CF6B933" w14:paraId="66DAB814" w14:textId="3F94F48E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CF6B933" w:rsidR="2CF6B93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Financeiro 2.929.161</w:t>
            </w:r>
          </w:p>
        </w:tc>
        <w:tc>
          <w:tcPr>
            <w:tcW w:w="193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CF6B933" w:rsidP="2CF6B933" w:rsidRDefault="2CF6B933" w14:paraId="76AD73FF" w14:textId="01BE3DED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CF6B933" w:rsidR="2CF6B93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Mútuo (repasse de bonds)</w:t>
            </w:r>
          </w:p>
        </w:tc>
      </w:tr>
      <w:tr w:rsidR="2CF6B933" w:rsidTr="2CF6B933" w14:paraId="1B871DBE">
        <w:trPr>
          <w:trHeight w:val="300"/>
        </w:trPr>
        <w:tc>
          <w:tcPr>
            <w:tcW w:w="28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CF6B933" w:rsidP="2CF6B933" w:rsidRDefault="2CF6B933" w14:paraId="0C1EE2B8" w14:textId="55963B27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CF6B933" w:rsidR="2CF6B933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Suzano International Finance B.V.</w:t>
            </w:r>
          </w:p>
        </w:tc>
        <w:tc>
          <w:tcPr>
            <w:tcW w:w="13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CF6B933" w:rsidP="2CF6B933" w:rsidRDefault="2CF6B933" w14:paraId="14C38BF1" w14:textId="7042FF26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CF6B933" w:rsidR="2CF6B93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—</w:t>
            </w:r>
          </w:p>
        </w:tc>
        <w:tc>
          <w:tcPr>
            <w:tcW w:w="148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CF6B933" w:rsidP="2CF6B933" w:rsidRDefault="2CF6B933" w14:paraId="1A6467CA" w14:textId="724E98EB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CF6B933" w:rsidR="2CF6B93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(11.817.854)</w:t>
            </w:r>
          </w:p>
        </w:tc>
        <w:tc>
          <w:tcPr>
            <w:tcW w:w="18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CF6B933" w:rsidP="2CF6B933" w:rsidRDefault="2CF6B933" w14:paraId="2F59A835" w14:textId="33C8EF27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CF6B933" w:rsidR="2CF6B93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Financeiro 966.952</w:t>
            </w:r>
          </w:p>
        </w:tc>
        <w:tc>
          <w:tcPr>
            <w:tcW w:w="193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CF6B933" w:rsidP="2CF6B933" w:rsidRDefault="2CF6B933" w14:paraId="722D218A" w14:textId="1A1BF419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CF6B933" w:rsidR="2CF6B93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Mútuo</w:t>
            </w:r>
          </w:p>
        </w:tc>
      </w:tr>
      <w:tr w:rsidR="2CF6B933" w:rsidTr="2CF6B933" w14:paraId="20B0F6CA">
        <w:trPr>
          <w:trHeight w:val="300"/>
        </w:trPr>
        <w:tc>
          <w:tcPr>
            <w:tcW w:w="28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CF6B933" w:rsidP="2CF6B933" w:rsidRDefault="2CF6B933" w14:paraId="55C06280" w14:textId="3BA911DA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CF6B933" w:rsidR="2CF6B933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Suzano Netherlands B.V.</w:t>
            </w:r>
          </w:p>
        </w:tc>
        <w:tc>
          <w:tcPr>
            <w:tcW w:w="13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CF6B933" w:rsidP="2CF6B933" w:rsidRDefault="2CF6B933" w14:paraId="56F9B357" w14:textId="0EF1C9F4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CF6B933" w:rsidR="2CF6B93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—</w:t>
            </w:r>
          </w:p>
        </w:tc>
        <w:tc>
          <w:tcPr>
            <w:tcW w:w="148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CF6B933" w:rsidP="2CF6B933" w:rsidRDefault="2CF6B933" w14:paraId="11F5464F" w14:textId="284FD02F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CF6B933" w:rsidR="2CF6B93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(4.588.858)</w:t>
            </w:r>
          </w:p>
        </w:tc>
        <w:tc>
          <w:tcPr>
            <w:tcW w:w="18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CF6B933" w:rsidP="2CF6B933" w:rsidRDefault="2CF6B933" w14:paraId="4C4591D5" w14:textId="440EBF93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CF6B933" w:rsidR="2CF6B93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Financeiro (95.902)</w:t>
            </w:r>
          </w:p>
        </w:tc>
        <w:tc>
          <w:tcPr>
            <w:tcW w:w="193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CF6B933" w:rsidP="2CF6B933" w:rsidRDefault="2CF6B933" w14:paraId="52612E58" w14:textId="2224E953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CF6B933" w:rsidR="2CF6B93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Mútuo</w:t>
            </w:r>
          </w:p>
        </w:tc>
      </w:tr>
      <w:tr w:rsidR="2CF6B933" w:rsidTr="2CF6B933" w14:paraId="641633AA">
        <w:trPr>
          <w:trHeight w:val="300"/>
        </w:trPr>
        <w:tc>
          <w:tcPr>
            <w:tcW w:w="28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CF6B933" w:rsidP="2CF6B933" w:rsidRDefault="2CF6B933" w14:paraId="063FD0CE" w14:textId="63BC1EB2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CF6B933" w:rsidR="2CF6B933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Acionistas controladores e Suzano Holding</w:t>
            </w:r>
          </w:p>
        </w:tc>
        <w:tc>
          <w:tcPr>
            <w:tcW w:w="13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CF6B933" w:rsidP="2CF6B933" w:rsidRDefault="2CF6B933" w14:paraId="7E7B4622" w14:textId="532103F5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CF6B933" w:rsidR="2CF6B93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—</w:t>
            </w:r>
          </w:p>
        </w:tc>
        <w:tc>
          <w:tcPr>
            <w:tcW w:w="148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CF6B933" w:rsidP="2CF6B933" w:rsidRDefault="2CF6B933" w14:paraId="37F93B38" w14:textId="7071F2E2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CF6B933" w:rsidR="2CF6B93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(698.460)</w:t>
            </w:r>
          </w:p>
        </w:tc>
        <w:tc>
          <w:tcPr>
            <w:tcW w:w="18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CF6B933" w:rsidP="2CF6B933" w:rsidRDefault="2CF6B933" w14:paraId="17FD1770" w14:textId="025C3D75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CF6B933" w:rsidR="2CF6B93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—</w:t>
            </w:r>
          </w:p>
        </w:tc>
        <w:tc>
          <w:tcPr>
            <w:tcW w:w="193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CF6B933" w:rsidP="2CF6B933" w:rsidRDefault="2CF6B933" w14:paraId="04C2A6B3" w14:textId="1B072C13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CF6B933" w:rsidR="2CF6B93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Dividendos e JCP a pagar</w:t>
            </w:r>
          </w:p>
        </w:tc>
      </w:tr>
      <w:tr w:rsidR="2CF6B933" w:rsidTr="2CF6B933" w14:paraId="2605127F">
        <w:trPr>
          <w:trHeight w:val="300"/>
        </w:trPr>
        <w:tc>
          <w:tcPr>
            <w:tcW w:w="289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CF6B933" w:rsidP="2CF6B933" w:rsidRDefault="2CF6B933" w14:paraId="023DE112" w14:textId="59BBDE05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CF6B933" w:rsidR="2CF6B933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Ibema (coligada)</w:t>
            </w:r>
          </w:p>
        </w:tc>
        <w:tc>
          <w:tcPr>
            <w:tcW w:w="139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CF6B933" w:rsidP="2CF6B933" w:rsidRDefault="2CF6B933" w14:paraId="35490F7B" w14:textId="76C7E83F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CF6B933" w:rsidR="2CF6B93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68.209</w:t>
            </w:r>
          </w:p>
        </w:tc>
        <w:tc>
          <w:tcPr>
            <w:tcW w:w="148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CF6B933" w:rsidP="2CF6B933" w:rsidRDefault="2CF6B933" w14:paraId="7D3F0AE2" w14:textId="28C60873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CF6B933" w:rsidR="2CF6B93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(658)</w:t>
            </w:r>
          </w:p>
        </w:tc>
        <w:tc>
          <w:tcPr>
            <w:tcW w:w="1890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CF6B933" w:rsidP="2CF6B933" w:rsidRDefault="2CF6B933" w14:paraId="39752767" w14:textId="378C8229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CF6B933" w:rsidR="2CF6B93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—</w:t>
            </w:r>
          </w:p>
        </w:tc>
        <w:tc>
          <w:tcPr>
            <w:tcW w:w="193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CF6B933" w:rsidP="2CF6B933" w:rsidRDefault="2CF6B933" w14:paraId="3FCBA628" w14:textId="3F237D73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CF6B933" w:rsidR="2CF6B93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Venda de celulose</w:t>
            </w:r>
          </w:p>
        </w:tc>
      </w:tr>
    </w:tbl>
    <w:p xmlns:wp14="http://schemas.microsoft.com/office/word/2010/wordml" w:rsidP="2CF6B933" wp14:paraId="49FC51D4" wp14:textId="1CD74825">
      <w:pPr>
        <w:bidi w:val="0"/>
        <w:spacing w:after="10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7F7F7F" w:themeColor="text1" w:themeTint="80" w:themeShade="FF"/>
          <w:sz w:val="19"/>
          <w:szCs w:val="19"/>
        </w:rPr>
      </w:pPr>
      <w:r w:rsidRPr="2CF6B933" w:rsidR="622CB408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color w:val="7F7F7F" w:themeColor="text1" w:themeTint="80" w:themeShade="FF"/>
          <w:sz w:val="19"/>
          <w:szCs w:val="19"/>
        </w:rPr>
        <w:t>Total na controladora: ativos 10.248.271 e passivos 61.671.368, dos quais 60.853.039 são empréstimos com partes relacionadas, remunerados a SOFR mais spread (F1 p. 146–147). No consolidado, os saldos com controladas são eliminados.</w:t>
      </w:r>
    </w:p>
    <w:p xmlns:wp14="http://schemas.microsoft.com/office/word/2010/wordml" w:rsidP="2CF6B933" wp14:paraId="3568D9A2" wp14:textId="3F1F8557">
      <w:pPr>
        <w:bidi w:val="0"/>
        <w:spacing w:after="10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2CF6B933" w:rsidR="622CB40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 xml:space="preserve">Remuneração do pessoal-chave: </w:t>
      </w:r>
      <w:r w:rsidRPr="2CF6B933" w:rsidR="622CB40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R$ 157.826 mil em 2025 (R$ 164.297 mil em 2024), sendo R$ 92.114 mil em pagamentos baseados em ações; o bônus subiu de R$ 14.881 mil para R$ 23.901 mil (F1 p. 149).</w:t>
      </w:r>
    </w:p>
    <w:p xmlns:wp14="http://schemas.microsoft.com/office/word/2010/wordml" w:rsidP="2CF6B933" wp14:paraId="0279AF85" wp14:textId="2B9CFBA6">
      <w:pPr>
        <w:keepNext w:val="1"/>
        <w:pBdr>
          <w:bottom w:val="single" w:color="BFBFBF" w:sz="4" w:space="3"/>
        </w:pBdr>
        <w:bidi w:val="0"/>
        <w:spacing w:before="280"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1F3864"/>
          <w:sz w:val="20"/>
          <w:szCs w:val="20"/>
        </w:rPr>
      </w:pPr>
      <w:r w:rsidRPr="2CF6B933" w:rsidR="622CB40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7F7F7F" w:themeColor="text1" w:themeTint="80" w:themeShade="FF"/>
          <w:sz w:val="20"/>
          <w:szCs w:val="20"/>
        </w:rPr>
        <w:t xml:space="preserve">5   </w:t>
      </w:r>
      <w:r w:rsidRPr="2CF6B933" w:rsidR="622CB40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20"/>
          <w:szCs w:val="20"/>
        </w:rPr>
        <w:t>RISCOS IDENTIFICADOS (ITENS 18–19)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2595"/>
        <w:gridCol w:w="3300"/>
        <w:gridCol w:w="3735"/>
      </w:tblGrid>
      <w:tr w:rsidR="2CF6B933" w:rsidTr="2CF6B933" w14:paraId="1CC87CA7">
        <w:trPr>
          <w:trHeight w:val="300"/>
        </w:trPr>
        <w:tc>
          <w:tcPr>
            <w:tcW w:w="259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CF6B933" w:rsidP="2CF6B933" w:rsidRDefault="2CF6B933" w14:paraId="2A8D0FE7" w14:textId="3124DB73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2CF6B933" w:rsidR="2CF6B933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Risco</w:t>
            </w:r>
          </w:p>
        </w:tc>
        <w:tc>
          <w:tcPr>
            <w:tcW w:w="330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CF6B933" w:rsidP="2CF6B933" w:rsidRDefault="2CF6B933" w14:paraId="6807FC9C" w14:textId="07F70DF8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2CF6B933" w:rsidR="2CF6B933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Por quê</w:t>
            </w:r>
          </w:p>
        </w:tc>
        <w:tc>
          <w:tcPr>
            <w:tcW w:w="373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CF6B933" w:rsidP="2CF6B933" w:rsidRDefault="2CF6B933" w14:paraId="54E67913" w14:textId="0C93C27E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2CF6B933" w:rsidR="2CF6B933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Resposta planejada</w:t>
            </w:r>
          </w:p>
        </w:tc>
      </w:tr>
      <w:tr w:rsidR="2CF6B933" w:rsidTr="2CF6B933" w14:paraId="2460992F">
        <w:trPr>
          <w:trHeight w:val="300"/>
        </w:trPr>
        <w:tc>
          <w:tcPr>
            <w:tcW w:w="259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CF6B933" w:rsidP="2CF6B933" w:rsidRDefault="2CF6B933" w14:paraId="1D317093" w14:textId="02292572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CF6B933" w:rsidR="2CF6B933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Preço de transferência nas vendas a controladas</w:t>
            </w:r>
          </w:p>
        </w:tc>
        <w:tc>
          <w:tcPr>
            <w:tcW w:w="3300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CF6B933" w:rsidP="2CF6B933" w:rsidRDefault="2CF6B933" w14:paraId="5C818F2D" w14:textId="6C54BA4A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CF6B933" w:rsidR="2CF6B93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R$ 31,2 bi de resultado operacional da controladora com controladas, quase todo de vendas a controladas comerciais no exterior (F1 p. 146)</w:t>
            </w:r>
          </w:p>
        </w:tc>
        <w:tc>
          <w:tcPr>
            <w:tcW w:w="373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CF6B933" w:rsidP="2CF6B933" w:rsidRDefault="2CF6B933" w14:paraId="4DAE3608" w14:textId="328ACBC5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CF6B933" w:rsidR="2CF6B93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Comparar preços com vendas a terceiros e com o preço de referência da celulose; verificar documentação fiscal</w:t>
            </w:r>
          </w:p>
        </w:tc>
      </w:tr>
      <w:tr w:rsidR="2CF6B933" w:rsidTr="2CF6B933" w14:paraId="3B031BE8">
        <w:trPr>
          <w:trHeight w:val="300"/>
        </w:trPr>
        <w:tc>
          <w:tcPr>
            <w:tcW w:w="25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CF6B933" w:rsidP="2CF6B933" w:rsidRDefault="2CF6B933" w14:paraId="36948E7E" w14:textId="0EED2883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CF6B933" w:rsidR="2CF6B933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Lucro não realizado nos estoques</w:t>
            </w:r>
          </w:p>
        </w:tc>
        <w:tc>
          <w:tcPr>
            <w:tcW w:w="330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CF6B933" w:rsidP="2CF6B933" w:rsidRDefault="2CF6B933" w14:paraId="2B40431A" w14:textId="0396D1ED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CF6B933" w:rsidR="2CF6B93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Estoques no exterior (R$ 2,2 bi) incluem margem da controladora</w:t>
            </w:r>
          </w:p>
        </w:tc>
        <w:tc>
          <w:tcPr>
            <w:tcW w:w="373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CF6B933" w:rsidP="2CF6B933" w:rsidRDefault="2CF6B933" w14:paraId="461B37D4" w14:textId="6CD4D75C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CF6B933" w:rsidR="2CF6B93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Testar a eliminação no consolidado (PT 600)</w:t>
            </w:r>
          </w:p>
        </w:tc>
      </w:tr>
      <w:tr w:rsidR="2CF6B933" w:rsidTr="2CF6B933" w14:paraId="6D4499D4">
        <w:trPr>
          <w:trHeight w:val="300"/>
        </w:trPr>
        <w:tc>
          <w:tcPr>
            <w:tcW w:w="25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CF6B933" w:rsidP="2CF6B933" w:rsidRDefault="2CF6B933" w14:paraId="36A2FB23" w14:textId="53AA7481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CF6B933" w:rsidR="2CF6B933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Mútuos intragrupo</w:t>
            </w:r>
          </w:p>
        </w:tc>
        <w:tc>
          <w:tcPr>
            <w:tcW w:w="330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CF6B933" w:rsidP="2CF6B933" w:rsidRDefault="2CF6B933" w14:paraId="43A5D771" w14:textId="50721128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CF6B933" w:rsidR="2CF6B93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R$ 60,9 bi; repasse de captações externas</w:t>
            </w:r>
          </w:p>
        </w:tc>
        <w:tc>
          <w:tcPr>
            <w:tcW w:w="373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CF6B933" w:rsidP="2CF6B933" w:rsidRDefault="2CF6B933" w14:paraId="7E4E9D65" w14:textId="064BA142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CF6B933" w:rsidR="2CF6B93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Conciliar com os contratos e com as captações (nota 18); confirmar saldos (PT 505)</w:t>
            </w:r>
          </w:p>
        </w:tc>
      </w:tr>
      <w:tr w:rsidR="2CF6B933" w:rsidTr="2CF6B933" w14:paraId="3E8DB626">
        <w:trPr>
          <w:trHeight w:val="300"/>
        </w:trPr>
        <w:tc>
          <w:tcPr>
            <w:tcW w:w="25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CF6B933" w:rsidP="2CF6B933" w:rsidRDefault="2CF6B933" w14:paraId="0ED81EE4" w14:textId="28C6AC76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CF6B933" w:rsidR="2CF6B933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Partes relacionadas não identificadas</w:t>
            </w:r>
          </w:p>
        </w:tc>
        <w:tc>
          <w:tcPr>
            <w:tcW w:w="330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CF6B933" w:rsidP="2CF6B933" w:rsidRDefault="2CF6B933" w14:paraId="28880A75" w14:textId="5E51F106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CF6B933" w:rsidR="2CF6B93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Grupo familiar com várias holdings</w:t>
            </w:r>
          </w:p>
        </w:tc>
        <w:tc>
          <w:tcPr>
            <w:tcW w:w="373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CF6B933" w:rsidP="2CF6B933" w:rsidRDefault="2CF6B933" w14:paraId="639BA236" w14:textId="3D7120DF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CF6B933" w:rsidR="2CF6B93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Comparar a lista da administração com o FRE e com bases públicas de sócios</w:t>
            </w:r>
          </w:p>
        </w:tc>
      </w:tr>
      <w:tr w:rsidR="2CF6B933" w:rsidTr="2CF6B933" w14:paraId="632E1846">
        <w:trPr>
          <w:trHeight w:val="300"/>
        </w:trPr>
        <w:tc>
          <w:tcPr>
            <w:tcW w:w="259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CF6B933" w:rsidP="2CF6B933" w:rsidRDefault="2CF6B933" w14:paraId="64831A0E" w14:textId="2C1F8D6F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CF6B933" w:rsidR="2CF6B933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Remuneração variável</w:t>
            </w:r>
          </w:p>
        </w:tc>
        <w:tc>
          <w:tcPr>
            <w:tcW w:w="3300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CF6B933" w:rsidP="2CF6B933" w:rsidRDefault="2CF6B933" w14:paraId="10992257" w14:textId="78A334CB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CF6B933" w:rsidR="2CF6B93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Bônus +61%; ações vinculadas ao preço da ação</w:t>
            </w:r>
          </w:p>
        </w:tc>
        <w:tc>
          <w:tcPr>
            <w:tcW w:w="373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CF6B933" w:rsidP="2CF6B933" w:rsidRDefault="2CF6B933" w14:paraId="31EE38F6" w14:textId="4AAC3A64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CF6B933" w:rsidR="2CF6B93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Avaliar incentivo à manipulação de resultados (PT 240)</w:t>
            </w:r>
          </w:p>
        </w:tc>
      </w:tr>
    </w:tbl>
    <w:p xmlns:wp14="http://schemas.microsoft.com/office/word/2010/wordml" w:rsidP="2CF6B933" wp14:paraId="224B4D6D" wp14:textId="5020D8E9">
      <w:pPr>
        <w:bidi w:val="0"/>
        <w:spacing w:after="10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2CF6B933" w:rsidR="622CB40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 xml:space="preserve">Transações fora do curso normal (item 23): </w:t>
      </w:r>
      <w:r w:rsidRPr="2CF6B933" w:rsidR="622CB40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nenhuma identificada nas fontes públicas; a nota afirma que não houve transações de natureza distinta em 2025.</w:t>
      </w:r>
    </w:p>
    <w:p xmlns:wp14="http://schemas.microsoft.com/office/word/2010/wordml" w:rsidP="2CF6B933" wp14:paraId="5B34EF2A" wp14:textId="0D425738">
      <w:pPr>
        <w:keepNext w:val="1"/>
        <w:pBdr>
          <w:bottom w:val="single" w:color="BFBFBF" w:sz="4" w:space="3"/>
        </w:pBdr>
        <w:bidi w:val="0"/>
        <w:spacing w:before="280"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1F3864"/>
          <w:sz w:val="20"/>
          <w:szCs w:val="20"/>
        </w:rPr>
      </w:pPr>
      <w:r w:rsidRPr="2CF6B933" w:rsidR="622CB40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7F7F7F" w:themeColor="text1" w:themeTint="80" w:themeShade="FF"/>
          <w:sz w:val="20"/>
          <w:szCs w:val="20"/>
        </w:rPr>
        <w:t xml:space="preserve">6   </w:t>
      </w:r>
      <w:r w:rsidRPr="2CF6B933" w:rsidR="622CB40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20"/>
          <w:szCs w:val="20"/>
        </w:rPr>
        <w:t>PROCEDIMENTOS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4890"/>
        <w:gridCol w:w="2700"/>
        <w:gridCol w:w="2025"/>
      </w:tblGrid>
      <w:tr w:rsidR="2CF6B933" w:rsidTr="2CF6B933" w14:paraId="27E24793">
        <w:trPr>
          <w:trHeight w:val="300"/>
        </w:trPr>
        <w:tc>
          <w:tcPr>
            <w:tcW w:w="489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CF6B933" w:rsidP="2CF6B933" w:rsidRDefault="2CF6B933" w14:paraId="341A926D" w14:textId="53AF8954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2CF6B933" w:rsidR="2CF6B933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Procedimento</w:t>
            </w:r>
          </w:p>
        </w:tc>
        <w:tc>
          <w:tcPr>
            <w:tcW w:w="270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CF6B933" w:rsidP="2CF6B933" w:rsidRDefault="2CF6B933" w14:paraId="1F5E57CC" w14:textId="79A793DA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2CF6B933" w:rsidR="2CF6B933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Classificação</w:t>
            </w:r>
          </w:p>
        </w:tc>
        <w:tc>
          <w:tcPr>
            <w:tcW w:w="202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CF6B933" w:rsidP="2CF6B933" w:rsidRDefault="2CF6B933" w14:paraId="07ACEFE7" w14:textId="43706CB2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2CF6B933" w:rsidR="2CF6B933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Evidência</w:t>
            </w:r>
          </w:p>
        </w:tc>
      </w:tr>
      <w:tr w:rsidR="2CF6B933" w:rsidTr="2CF6B933" w14:paraId="6F5400C1">
        <w:trPr>
          <w:trHeight w:val="300"/>
        </w:trPr>
        <w:tc>
          <w:tcPr>
            <w:tcW w:w="4890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CF6B933" w:rsidP="2CF6B933" w:rsidRDefault="2CF6B933" w14:paraId="6BC9E707" w14:textId="6FD0C0B9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CF6B933" w:rsidR="2CF6B93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Entender a política, a estrutura de controle e a natureza das transações</w:t>
            </w:r>
          </w:p>
        </w:tc>
        <w:tc>
          <w:tcPr>
            <w:tcW w:w="2700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CF6B933" w:rsidP="2CF6B933" w:rsidRDefault="2CF6B933" w14:paraId="20AF8899" w14:textId="258C4227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CF6B933" w:rsidR="2CF6B93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Realizado com evidência pública</w:t>
            </w:r>
          </w:p>
        </w:tc>
        <w:tc>
          <w:tcPr>
            <w:tcW w:w="202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CF6B933" w:rsidP="2CF6B933" w:rsidRDefault="2CF6B933" w14:paraId="19515E1F" w14:textId="10E86865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CF6B933" w:rsidR="2CF6B93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F1; F3</w:t>
            </w:r>
          </w:p>
        </w:tc>
      </w:tr>
      <w:tr w:rsidR="2CF6B933" w:rsidTr="2CF6B933" w14:paraId="008249D6">
        <w:trPr>
          <w:trHeight w:val="300"/>
        </w:trPr>
        <w:tc>
          <w:tcPr>
            <w:tcW w:w="48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CF6B933" w:rsidP="2CF6B933" w:rsidRDefault="2CF6B933" w14:paraId="6F254382" w14:textId="433DB442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CF6B933" w:rsidR="2CF6B93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Analisar saldos, transações e remuneração</w:t>
            </w:r>
          </w:p>
        </w:tc>
        <w:tc>
          <w:tcPr>
            <w:tcW w:w="270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CF6B933" w:rsidP="2CF6B933" w:rsidRDefault="2CF6B933" w14:paraId="30333DCA" w14:textId="0E6DE6C6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CF6B933" w:rsidR="2CF6B93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Realizado com evidência pública</w:t>
            </w:r>
          </w:p>
        </w:tc>
        <w:tc>
          <w:tcPr>
            <w:tcW w:w="202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CF6B933" w:rsidP="2CF6B933" w:rsidRDefault="2CF6B933" w14:paraId="539C37A9" w14:textId="747C8066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CF6B933" w:rsidR="2CF6B93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Seção 4</w:t>
            </w:r>
          </w:p>
        </w:tc>
      </w:tr>
      <w:tr w:rsidR="2CF6B933" w:rsidTr="2CF6B933" w14:paraId="3181150F">
        <w:trPr>
          <w:trHeight w:val="300"/>
        </w:trPr>
        <w:tc>
          <w:tcPr>
            <w:tcW w:w="48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CF6B933" w:rsidP="2CF6B933" w:rsidRDefault="2CF6B933" w14:paraId="335C03EF" w14:textId="6A596927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CF6B933" w:rsidR="2CF6B93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Indagar a administração e obter a lista de partes relacionadas (item 13)</w:t>
            </w:r>
          </w:p>
        </w:tc>
        <w:tc>
          <w:tcPr>
            <w:tcW w:w="270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CF6B933" w:rsidP="2CF6B933" w:rsidRDefault="2CF6B933" w14:paraId="64AA7380" w14:textId="333912BC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CF6B933" w:rsidR="2CF6B93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Planejado por falta de acesso</w:t>
            </w:r>
          </w:p>
        </w:tc>
        <w:tc>
          <w:tcPr>
            <w:tcW w:w="202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CF6B933" w:rsidP="2CF6B933" w:rsidRDefault="2CF6B933" w14:paraId="2FADA4D1" w14:textId="5D7BB809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CF6B933" w:rsidR="2CF6B93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—</w:t>
            </w:r>
          </w:p>
        </w:tc>
      </w:tr>
      <w:tr w:rsidR="2CF6B933" w:rsidTr="2CF6B933" w14:paraId="27850295">
        <w:trPr>
          <w:trHeight w:val="300"/>
        </w:trPr>
        <w:tc>
          <w:tcPr>
            <w:tcW w:w="48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CF6B933" w:rsidP="2CF6B933" w:rsidRDefault="2CF6B933" w14:paraId="081B718C" w14:textId="17EBCC3E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CF6B933" w:rsidR="2CF6B93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Ler atas do Conselho e pareceres da Comissão (item 15)</w:t>
            </w:r>
          </w:p>
        </w:tc>
        <w:tc>
          <w:tcPr>
            <w:tcW w:w="270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CF6B933" w:rsidP="2CF6B933" w:rsidRDefault="2CF6B933" w14:paraId="6FBD883D" w14:textId="2F3D0CD5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CF6B933" w:rsidR="2CF6B93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Planejado por falta de acesso</w:t>
            </w:r>
          </w:p>
        </w:tc>
        <w:tc>
          <w:tcPr>
            <w:tcW w:w="202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CF6B933" w:rsidP="2CF6B933" w:rsidRDefault="2CF6B933" w14:paraId="71E8E83A" w14:textId="63C7CB4A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CF6B933" w:rsidR="2CF6B93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—</w:t>
            </w:r>
          </w:p>
        </w:tc>
      </w:tr>
      <w:tr w:rsidR="2CF6B933" w:rsidTr="2CF6B933" w14:paraId="1D6071BE">
        <w:trPr>
          <w:trHeight w:val="300"/>
        </w:trPr>
        <w:tc>
          <w:tcPr>
            <w:tcW w:w="48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CF6B933" w:rsidP="2CF6B933" w:rsidRDefault="2CF6B933" w14:paraId="2A0C7F1F" w14:textId="798223A5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CF6B933" w:rsidR="2CF6B93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Inspecionar contratos e aprovações das transações relevantes (item 23)</w:t>
            </w:r>
          </w:p>
        </w:tc>
        <w:tc>
          <w:tcPr>
            <w:tcW w:w="270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CF6B933" w:rsidP="2CF6B933" w:rsidRDefault="2CF6B933" w14:paraId="6DCE64BC" w14:textId="1DA1A71B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CF6B933" w:rsidR="2CF6B93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Planejado por falta de acesso</w:t>
            </w:r>
          </w:p>
        </w:tc>
        <w:tc>
          <w:tcPr>
            <w:tcW w:w="202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CF6B933" w:rsidP="2CF6B933" w:rsidRDefault="2CF6B933" w14:paraId="3B087D69" w14:textId="63A1070C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CF6B933" w:rsidR="2CF6B93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—</w:t>
            </w:r>
          </w:p>
        </w:tc>
      </w:tr>
      <w:tr w:rsidR="2CF6B933" w:rsidTr="2CF6B933" w14:paraId="63CBE5EA">
        <w:trPr>
          <w:trHeight w:val="300"/>
        </w:trPr>
        <w:tc>
          <w:tcPr>
            <w:tcW w:w="4890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CF6B933" w:rsidP="2CF6B933" w:rsidRDefault="2CF6B933" w14:paraId="5736DB42" w14:textId="03B8EE59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CF6B933" w:rsidR="2CF6B93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Representação formal sobre partes relacionadas (item 26)</w:t>
            </w:r>
          </w:p>
        </w:tc>
        <w:tc>
          <w:tcPr>
            <w:tcW w:w="2700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CF6B933" w:rsidP="2CF6B933" w:rsidRDefault="2CF6B933" w14:paraId="2CF005A6" w14:textId="2681A5A8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CF6B933" w:rsidR="2CF6B93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Planejado</w:t>
            </w:r>
          </w:p>
        </w:tc>
        <w:tc>
          <w:tcPr>
            <w:tcW w:w="202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CF6B933" w:rsidP="2CF6B933" w:rsidRDefault="2CF6B933" w14:paraId="55A143B1" w14:textId="1C752791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CF6B933" w:rsidR="2CF6B93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→ PT 580</w:t>
            </w:r>
          </w:p>
        </w:tc>
      </w:tr>
    </w:tbl>
    <w:p xmlns:wp14="http://schemas.microsoft.com/office/word/2010/wordml" w:rsidP="2CF6B933" wp14:paraId="0F07A484" wp14:textId="32CF30AD">
      <w:pPr>
        <w:keepNext w:val="1"/>
        <w:pBdr>
          <w:bottom w:val="single" w:color="BFBFBF" w:sz="4" w:space="3"/>
        </w:pBdr>
        <w:bidi w:val="0"/>
        <w:spacing w:before="280"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1F3864"/>
          <w:sz w:val="20"/>
          <w:szCs w:val="20"/>
        </w:rPr>
      </w:pPr>
      <w:r w:rsidRPr="2CF6B933" w:rsidR="622CB40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7F7F7F" w:themeColor="text1" w:themeTint="80" w:themeShade="FF"/>
          <w:sz w:val="20"/>
          <w:szCs w:val="20"/>
        </w:rPr>
        <w:t xml:space="preserve">7   </w:t>
      </w:r>
      <w:r w:rsidRPr="2CF6B933" w:rsidR="622CB40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20"/>
          <w:szCs w:val="20"/>
        </w:rPr>
        <w:t>CONCLUSÃO E LIMITAÇÕES</w:t>
      </w:r>
    </w:p>
    <w:p xmlns:wp14="http://schemas.microsoft.com/office/word/2010/wordml" w:rsidP="2CF6B933" wp14:paraId="5CA0D2C2" wp14:textId="00E26461">
      <w:pPr>
        <w:bidi w:val="0"/>
        <w:spacing w:after="10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2CF6B933" w:rsidR="622CB40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 xml:space="preserve">Resultado. </w:t>
      </w:r>
      <w:r w:rsidRPr="2CF6B933" w:rsidR="622CB40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Estrutura de governança específica para partes relacionadas, com aprovação prévia e alçadas. Volumes relevantes de vendas e mútuos intragrupo, eliminados no consolidado, cujos riscos são preço de transferência e lucro não realizado. Não há indício de transações fora do curso normal.</w:t>
      </w:r>
    </w:p>
    <w:p xmlns:wp14="http://schemas.microsoft.com/office/word/2010/wordml" w:rsidP="2CF6B933" wp14:paraId="1AB5D960" wp14:textId="18750094">
      <w:pPr>
        <w:bidi w:val="0"/>
        <w:spacing w:after="10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2CF6B933" w:rsidR="622CB40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 xml:space="preserve">Limitações. </w:t>
      </w:r>
      <w:r w:rsidRPr="2CF6B933" w:rsidR="622CB40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Sem acesso à lista completa de partes relacionadas, aos contratos e às atas. A conclusão depende das informações divulgadas pela própria administração.</w:t>
      </w:r>
    </w:p>
    <w:p xmlns:wp14="http://schemas.microsoft.com/office/word/2010/wordml" w:rsidP="2CF6B933" wp14:paraId="3B1AFDC8" wp14:textId="3A5517DC">
      <w:pPr>
        <w:bidi w:val="0"/>
        <w:spacing w:after="10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2CF6B933" w:rsidR="622CB40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 xml:space="preserve">Referências cruzadas. </w:t>
      </w:r>
      <w:r w:rsidRPr="2CF6B933" w:rsidR="622CB40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PT 240, PT 260, PT 315, PT 501, PT 505, PT 580, PT 600 e PT CI.</w:t>
      </w:r>
    </w:p>
    <w:p xmlns:wp14="http://schemas.microsoft.com/office/word/2010/wordml" w:rsidP="2CF6B933" wp14:paraId="2B8055D9" wp14:textId="223D564B">
      <w:pPr>
        <w:keepNext w:val="1"/>
        <w:pBdr>
          <w:bottom w:val="single" w:color="BFBFBF" w:sz="4" w:space="3"/>
        </w:pBdr>
        <w:bidi w:val="0"/>
        <w:spacing w:before="280"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1F3864"/>
          <w:sz w:val="20"/>
          <w:szCs w:val="20"/>
        </w:rPr>
      </w:pPr>
      <w:r w:rsidRPr="2CF6B933" w:rsidR="622CB40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7F7F7F" w:themeColor="text1" w:themeTint="80" w:themeShade="FF"/>
          <w:sz w:val="20"/>
          <w:szCs w:val="20"/>
        </w:rPr>
        <w:t xml:space="preserve">8   </w:t>
      </w:r>
      <w:r w:rsidRPr="2CF6B933" w:rsidR="622CB40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20"/>
          <w:szCs w:val="20"/>
        </w:rPr>
        <w:t>PREPARAÇÃO E REVISÃO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3195"/>
        <w:gridCol w:w="1800"/>
        <w:gridCol w:w="2835"/>
        <w:gridCol w:w="1800"/>
      </w:tblGrid>
      <w:tr w:rsidR="2CF6B933" w:rsidTr="2CF6B933" w14:paraId="7C5328F6">
        <w:trPr>
          <w:trHeight w:val="300"/>
        </w:trPr>
        <w:tc>
          <w:tcPr>
            <w:tcW w:w="319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CF6B933" w:rsidP="2CF6B933" w:rsidRDefault="2CF6B933" w14:paraId="1A66CD01" w14:textId="02162D8E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2CF6B933" w:rsidR="2CF6B933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Preparado por (matrícula)</w:t>
            </w:r>
          </w:p>
        </w:tc>
        <w:tc>
          <w:tcPr>
            <w:tcW w:w="180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CF6B933" w:rsidP="2CF6B933" w:rsidRDefault="2CF6B933" w14:paraId="3290DCE9" w14:textId="77D28E7A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2CF6B933" w:rsidR="2CF6B933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Data</w:t>
            </w:r>
          </w:p>
        </w:tc>
        <w:tc>
          <w:tcPr>
            <w:tcW w:w="283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CF6B933" w:rsidP="2CF6B933" w:rsidRDefault="2CF6B933" w14:paraId="2B4A7299" w14:textId="71B6D039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2CF6B933" w:rsidR="2CF6B933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Revisado por</w:t>
            </w:r>
          </w:p>
        </w:tc>
        <w:tc>
          <w:tcPr>
            <w:tcW w:w="180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CF6B933" w:rsidP="2CF6B933" w:rsidRDefault="2CF6B933" w14:paraId="084D40C0" w14:textId="436F64CC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2CF6B933" w:rsidR="2CF6B933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Data da revisão</w:t>
            </w:r>
          </w:p>
        </w:tc>
      </w:tr>
      <w:tr w:rsidR="2CF6B933" w:rsidTr="2CF6B933" w14:paraId="44C8C8A5">
        <w:trPr>
          <w:trHeight w:val="300"/>
        </w:trPr>
        <w:tc>
          <w:tcPr>
            <w:tcW w:w="319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CF6B933" w:rsidP="2CF6B933" w:rsidRDefault="2CF6B933" w14:paraId="1950BD81" w14:textId="1A7ECCDA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CF6B933" w:rsidR="2CF6B93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241003769</w:t>
            </w:r>
          </w:p>
        </w:tc>
        <w:tc>
          <w:tcPr>
            <w:tcW w:w="180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CF6B933" w:rsidP="2CF6B933" w:rsidRDefault="2CF6B933" w14:paraId="71337BBB" w14:textId="5D22C44E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CF6B933" w:rsidR="2CF6B93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22/10/2026</w:t>
            </w:r>
          </w:p>
        </w:tc>
        <w:tc>
          <w:tcPr>
            <w:tcW w:w="283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CF6B933" w:rsidP="2CF6B933" w:rsidRDefault="2CF6B933" w14:paraId="5973275C" w14:textId="26F7DA9E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9"/>
                <w:szCs w:val="19"/>
              </w:rPr>
            </w:pPr>
          </w:p>
        </w:tc>
        <w:tc>
          <w:tcPr>
            <w:tcW w:w="180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CF6B933" w:rsidP="2CF6B933" w:rsidRDefault="2CF6B933" w14:paraId="3E590D9D" w14:textId="52354CE1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9"/>
                <w:szCs w:val="19"/>
              </w:rPr>
            </w:pPr>
          </w:p>
        </w:tc>
      </w:tr>
    </w:tbl>
    <w:p xmlns:wp14="http://schemas.microsoft.com/office/word/2010/wordml" w:rsidP="2CF6B933" wp14:paraId="6EEECA71" wp14:textId="74D7D551">
      <w:pPr>
        <w:bidi w:val="0"/>
        <w:spacing w:after="4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</w:p>
    <w:p xmlns:wp14="http://schemas.microsoft.com/office/word/2010/wordml" w:rsidP="2CF6B933" wp14:paraId="1E207724" wp14:textId="5AB12FDB">
      <w:pPr>
        <w:pStyle w:val="Normal"/>
        <w:bidi w:val="0"/>
        <w:spacing w:after="4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c9f90402fbb343fe"/>
      <w:footerReference w:type="default" r:id="R6ef305a69c324e5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CF6B933" w:rsidTr="2CF6B933" w14:paraId="31351362">
      <w:trPr>
        <w:trHeight w:val="300"/>
      </w:trPr>
      <w:tc>
        <w:tcPr>
          <w:tcW w:w="3005" w:type="dxa"/>
          <w:tcMar/>
        </w:tcPr>
        <w:p w:rsidR="2CF6B933" w:rsidP="2CF6B933" w:rsidRDefault="2CF6B933" w14:paraId="1377EA6A" w14:textId="4F7EB5A5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2CF6B933" w:rsidP="2CF6B933" w:rsidRDefault="2CF6B933" w14:paraId="2732992B" w14:textId="42DB9444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2CF6B933" w:rsidP="2CF6B933" w:rsidRDefault="2CF6B933" w14:paraId="1B741C0B" w14:textId="54F389A3">
          <w:pPr>
            <w:pStyle w:val="Header"/>
            <w:bidi w:val="0"/>
            <w:ind w:right="-115"/>
            <w:jc w:val="right"/>
          </w:pPr>
        </w:p>
      </w:tc>
    </w:tr>
  </w:tbl>
  <w:p w:rsidR="2CF6B933" w:rsidP="2CF6B933" w:rsidRDefault="2CF6B933" w14:paraId="69AE3B21" w14:textId="755FA8F1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7155"/>
    </w:tblGrid>
    <w:tr w:rsidR="2CF6B933" w:rsidTr="2CF6B933" w14:paraId="48649118">
      <w:trPr>
        <w:trHeight w:val="300"/>
      </w:trPr>
      <w:tc>
        <w:tcPr>
          <w:tcW w:w="3005" w:type="dxa"/>
          <w:tcMar/>
        </w:tcPr>
        <w:p w:rsidR="2CF6B933" w:rsidP="2CF6B933" w:rsidRDefault="2CF6B933" w14:paraId="669C55C9" w14:textId="299BEF2F">
          <w:pPr>
            <w:pStyle w:val="Header"/>
            <w:bidi w:val="0"/>
            <w:jc w:val="center"/>
          </w:pPr>
        </w:p>
      </w:tc>
      <w:tc>
        <w:tcPr>
          <w:tcW w:w="7155" w:type="dxa"/>
          <w:tcMar/>
        </w:tcPr>
        <w:p w:rsidR="2CF6B933" w:rsidP="2CF6B933" w:rsidRDefault="2CF6B933" w14:paraId="5B6C9BD4" w14:textId="603094C0">
          <w:pPr>
            <w:pStyle w:val="Header"/>
            <w:bidi w:val="0"/>
            <w:ind w:left="-115" w:right="90"/>
            <w:jc w:val="right"/>
            <w:rPr>
              <w:rFonts w:ascii="Calibri" w:hAnsi="Calibri" w:eastAsia="Calibri" w:cs="Calibri"/>
              <w:b w:val="0"/>
              <w:bCs w:val="0"/>
              <w:i w:val="0"/>
              <w:iCs w:val="0"/>
              <w:caps w:val="0"/>
              <w:smallCaps w:val="0"/>
              <w:color w:val="808080" w:themeColor="background1" w:themeTint="FF" w:themeShade="80"/>
              <w:sz w:val="16"/>
              <w:szCs w:val="16"/>
            </w:rPr>
          </w:pPr>
          <w:r w:rsidRPr="2CF6B933" w:rsidR="2CF6B933">
            <w:rPr>
              <w:rFonts w:ascii="Calibri" w:hAnsi="Calibri" w:eastAsia="Calibri" w:cs="Calibri"/>
              <w:b w:val="0"/>
              <w:bCs w:val="0"/>
              <w:i w:val="0"/>
              <w:iCs w:val="0"/>
              <w:caps w:val="0"/>
              <w:smallCaps w:val="0"/>
              <w:color w:val="808080" w:themeColor="background1" w:themeTint="FF" w:themeShade="80"/>
              <w:sz w:val="16"/>
              <w:szCs w:val="16"/>
            </w:rPr>
            <w:t xml:space="preserve">Auditoria 1 – UnB 2026.2 | Suzano S.A. 2025 | PT </w:t>
          </w:r>
          <w:r w:rsidRPr="2CF6B933" w:rsidR="2CF6B933">
            <w:rPr>
              <w:rFonts w:ascii="Calibri" w:hAnsi="Calibri" w:eastAsia="Calibri" w:cs="Calibri"/>
              <w:b w:val="0"/>
              <w:bCs w:val="0"/>
              <w:i w:val="0"/>
              <w:iCs w:val="0"/>
              <w:caps w:val="0"/>
              <w:smallCaps w:val="0"/>
              <w:color w:val="808080" w:themeColor="background1" w:themeTint="FF" w:themeShade="80"/>
              <w:sz w:val="16"/>
              <w:szCs w:val="16"/>
            </w:rPr>
            <w:t>550</w:t>
          </w:r>
        </w:p>
      </w:tc>
    </w:tr>
  </w:tbl>
  <w:p w:rsidR="2CF6B933" w:rsidP="2CF6B933" w:rsidRDefault="2CF6B933" w14:paraId="7CEC1A61" w14:textId="72DED17D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jcblS3B9G2JKwJ" int2:id="PJdExOB4">
      <int2:state int2:type="spell" int2:value="Rejected"/>
    </int2:textHash>
    <int2:textHash int2:hashCode="M76m736jlVIk7y" int2:id="yzMY4nFi">
      <int2:state int2:type="spell" int2:value="Rejected"/>
    </int2:textHash>
    <int2:textHash int2:hashCode="8DwKWcWUVO6iXM" int2:id="Kx86X3A9">
      <int2:state int2:type="spell" int2:value="Rejected"/>
    </int2:textHash>
    <int2:textHash int2:hashCode="bZDvwn/X14Ib86" int2:id="qUc8igRo">
      <int2:state int2:type="spell" int2:value="Rejected"/>
    </int2:textHash>
    <int2:textHash int2:hashCode="6kRAvZRxTk6FM0" int2:id="zOK7V4ab">
      <int2:state int2:type="spell" int2:value="Rejected"/>
    </int2:textHash>
    <int2:textHash int2:hashCode="aDbWvrpdGK3RWh" int2:id="D5uKkmOq">
      <int2:state int2:type="spell" int2:value="Rejected"/>
    </int2:textHash>
    <int2:textHash int2:hashCode="HKxczNDBNeCmo7" int2:id="4ZtIDvy3">
      <int2:state int2:type="spell" int2:value="Rejected"/>
    </int2:textHash>
    <int2:textHash int2:hashCode="bM4lz2eCVfDC4I" int2:id="5VI42hTp">
      <int2:state int2:type="spell" int2:value="Rejected"/>
    </int2:textHash>
    <int2:textHash int2:hashCode="jz11khmS9GYRcU" int2:id="Ybav2HBm">
      <int2:state int2:type="spell" int2:value="Rejected"/>
    </int2:textHash>
    <int2:textHash int2:hashCode="u46xfKsC+BLI1A" int2:id="EOdvPcP7">
      <int2:state int2:type="spell" int2:value="Rejected"/>
    </int2:textHash>
    <int2:textHash int2:hashCode="jZKIYoBOflOeg0" int2:id="oXsQnd2C">
      <int2:state int2:type="spell" int2:value="Rejected"/>
    </int2:textHash>
    <int2:textHash int2:hashCode="GFP9Qn0Iu5iRwc" int2:id="p7u2KCWd">
      <int2:state int2:type="spell" int2:value="Rejected"/>
    </int2:textHash>
    <int2:textHash int2:hashCode="T/dfgJV0acS2r1" int2:id="fY0yBU6r">
      <int2:state int2:type="spell" int2:value="Rejected"/>
    </int2:textHash>
    <int2:bookmark int2:bookmarkName="_Int_B0CWOk0c" int2:invalidationBookmarkName="" int2:hashCode="Tw5etpBnwAnxXp" int2:id="Jz6niumv">
      <int2:state int2:type="gram" int2:value="Rejected"/>
    </int2:bookmark>
    <int2:bookmark int2:bookmarkName="_Int_ZnY0xlWQ" int2:invalidationBookmarkName="" int2:hashCode="VYcm9t65iGK7qc" int2:id="GUo7TQ6K">
      <int2:state int2:type="gram" int2:value="Rejected"/>
    </int2:bookmark>
    <int2:bookmark int2:bookmarkName="_Int_qCHft4b7" int2:invalidationBookmarkName="" int2:hashCode="lUSG4N1FgGx0LL" int2:id="9ouzfx9T">
      <int2:state int2:type="gram" int2:value="Rejected"/>
    </int2:bookmark>
    <int2:bookmark int2:bookmarkName="_Int_FkYsvQuN" int2:invalidationBookmarkName="" int2:hashCode="ypqYrZvEuFkfHO" int2:id="MOOHwDcy">
      <int2:state int2:type="gram" int2:value="Rejected"/>
    </int2:bookmark>
    <int2:bookmark int2:bookmarkName="_Int_aKfYGwBo" int2:invalidationBookmarkName="" int2:hashCode="LIf/VizhUfaMSW" int2:id="XBxEiE1Y">
      <int2:state int2:type="gram" int2:value="Rejected"/>
    </int2:bookmark>
    <int2:bookmark int2:bookmarkName="_Int_5yc9d9xJ" int2:invalidationBookmarkName="" int2:hashCode="T6x+TXYT4CjDoc" int2:id="xMdGbqGm">
      <int2:state int2:type="gram" int2:value="Rejected"/>
    </int2:bookmark>
    <int2:bookmark int2:bookmarkName="_Int_tE3hCqdf" int2:invalidationBookmarkName="" int2:hashCode="T6x+TXYT4CjDoc" int2:id="jPltY6uy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7">
    <w:nsid w:val="2db42c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dfc66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2d0640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f60f0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1c0180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2c30b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7aef9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9c912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d3f3b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1ea7d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9c037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f3a16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fa254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fd192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2fafd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9b5b4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69a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•"/>
      <w:lvlJc w:val="left"/>
      <w:pPr>
        <w:ind w:left="500" w:hanging="2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ED20B83"/>
    <w:rsid w:val="011A83B6"/>
    <w:rsid w:val="01306683"/>
    <w:rsid w:val="01746230"/>
    <w:rsid w:val="0223C95E"/>
    <w:rsid w:val="022D2EA2"/>
    <w:rsid w:val="024C4755"/>
    <w:rsid w:val="026C66F2"/>
    <w:rsid w:val="02747C8D"/>
    <w:rsid w:val="027F62E5"/>
    <w:rsid w:val="0349A6E6"/>
    <w:rsid w:val="037072A9"/>
    <w:rsid w:val="038540D8"/>
    <w:rsid w:val="05184C4B"/>
    <w:rsid w:val="05453B5E"/>
    <w:rsid w:val="059CB6AA"/>
    <w:rsid w:val="061AA162"/>
    <w:rsid w:val="06608DB5"/>
    <w:rsid w:val="06D85269"/>
    <w:rsid w:val="073EEE6D"/>
    <w:rsid w:val="075D1341"/>
    <w:rsid w:val="08AD9AE3"/>
    <w:rsid w:val="08AE989A"/>
    <w:rsid w:val="09318637"/>
    <w:rsid w:val="09673444"/>
    <w:rsid w:val="09714B5B"/>
    <w:rsid w:val="0ABBD582"/>
    <w:rsid w:val="0B5531A3"/>
    <w:rsid w:val="0C5D8E75"/>
    <w:rsid w:val="0D4925F2"/>
    <w:rsid w:val="0D616FB3"/>
    <w:rsid w:val="0D84B948"/>
    <w:rsid w:val="0E30FB40"/>
    <w:rsid w:val="0E81C4C1"/>
    <w:rsid w:val="0E948883"/>
    <w:rsid w:val="1049671E"/>
    <w:rsid w:val="1064FD88"/>
    <w:rsid w:val="1068121F"/>
    <w:rsid w:val="10FBA532"/>
    <w:rsid w:val="11A06382"/>
    <w:rsid w:val="12708081"/>
    <w:rsid w:val="131A14A3"/>
    <w:rsid w:val="134DD7FB"/>
    <w:rsid w:val="13519900"/>
    <w:rsid w:val="13AB68CB"/>
    <w:rsid w:val="13C18680"/>
    <w:rsid w:val="13EAC771"/>
    <w:rsid w:val="14BAA7E7"/>
    <w:rsid w:val="14E42F05"/>
    <w:rsid w:val="150FCECF"/>
    <w:rsid w:val="16A77933"/>
    <w:rsid w:val="16FA562A"/>
    <w:rsid w:val="176A2F18"/>
    <w:rsid w:val="1816DE17"/>
    <w:rsid w:val="1883A56F"/>
    <w:rsid w:val="1884274B"/>
    <w:rsid w:val="18BEE493"/>
    <w:rsid w:val="18C6A329"/>
    <w:rsid w:val="194E15AA"/>
    <w:rsid w:val="19CD751C"/>
    <w:rsid w:val="19D6320C"/>
    <w:rsid w:val="1A85A6A2"/>
    <w:rsid w:val="1A8C2314"/>
    <w:rsid w:val="1A9002EE"/>
    <w:rsid w:val="1B1038F5"/>
    <w:rsid w:val="1B1160CE"/>
    <w:rsid w:val="1B6374EE"/>
    <w:rsid w:val="1BA183D5"/>
    <w:rsid w:val="1BE28AC6"/>
    <w:rsid w:val="1C0D7C78"/>
    <w:rsid w:val="1C20C363"/>
    <w:rsid w:val="1C57F14B"/>
    <w:rsid w:val="1CD94CA2"/>
    <w:rsid w:val="1E0594DC"/>
    <w:rsid w:val="1E1A72D4"/>
    <w:rsid w:val="1E50F5FE"/>
    <w:rsid w:val="1E972531"/>
    <w:rsid w:val="20108AB1"/>
    <w:rsid w:val="2042C1AA"/>
    <w:rsid w:val="20611B13"/>
    <w:rsid w:val="20A18B2C"/>
    <w:rsid w:val="20CFD3FC"/>
    <w:rsid w:val="22198A17"/>
    <w:rsid w:val="2296A7ED"/>
    <w:rsid w:val="2391A488"/>
    <w:rsid w:val="24005765"/>
    <w:rsid w:val="244A73F0"/>
    <w:rsid w:val="25529155"/>
    <w:rsid w:val="258072B3"/>
    <w:rsid w:val="25FD5C6A"/>
    <w:rsid w:val="2668DAE6"/>
    <w:rsid w:val="271F7ECF"/>
    <w:rsid w:val="27277103"/>
    <w:rsid w:val="27C0B814"/>
    <w:rsid w:val="28334D30"/>
    <w:rsid w:val="2835C998"/>
    <w:rsid w:val="283D1021"/>
    <w:rsid w:val="28DD3297"/>
    <w:rsid w:val="2A1D4C36"/>
    <w:rsid w:val="2AC5FBB5"/>
    <w:rsid w:val="2B2AD0CC"/>
    <w:rsid w:val="2BFBDDD5"/>
    <w:rsid w:val="2CDA5D8A"/>
    <w:rsid w:val="2CF6B933"/>
    <w:rsid w:val="2D727077"/>
    <w:rsid w:val="2EFE221F"/>
    <w:rsid w:val="2F627354"/>
    <w:rsid w:val="30B63283"/>
    <w:rsid w:val="310A644E"/>
    <w:rsid w:val="3144C377"/>
    <w:rsid w:val="31878D65"/>
    <w:rsid w:val="31FCA092"/>
    <w:rsid w:val="321D0DD1"/>
    <w:rsid w:val="3250C433"/>
    <w:rsid w:val="32FF3506"/>
    <w:rsid w:val="3558769F"/>
    <w:rsid w:val="355E1935"/>
    <w:rsid w:val="3573E91D"/>
    <w:rsid w:val="35BD8763"/>
    <w:rsid w:val="362D2E0B"/>
    <w:rsid w:val="36BB4CB8"/>
    <w:rsid w:val="36F8B32F"/>
    <w:rsid w:val="371156FB"/>
    <w:rsid w:val="37702721"/>
    <w:rsid w:val="37EC1079"/>
    <w:rsid w:val="381A9377"/>
    <w:rsid w:val="39068857"/>
    <w:rsid w:val="3930D397"/>
    <w:rsid w:val="3944BC3A"/>
    <w:rsid w:val="399B4EB3"/>
    <w:rsid w:val="3A534784"/>
    <w:rsid w:val="3A5EA17B"/>
    <w:rsid w:val="3ADE138A"/>
    <w:rsid w:val="3B21F213"/>
    <w:rsid w:val="3BA36C85"/>
    <w:rsid w:val="3C38817C"/>
    <w:rsid w:val="3C744F2B"/>
    <w:rsid w:val="3CE654EB"/>
    <w:rsid w:val="3D604B55"/>
    <w:rsid w:val="3D87A8E3"/>
    <w:rsid w:val="3E1486F0"/>
    <w:rsid w:val="3E6E76E0"/>
    <w:rsid w:val="3E7A4EB2"/>
    <w:rsid w:val="3E8441AA"/>
    <w:rsid w:val="3E8B2520"/>
    <w:rsid w:val="3E93F6F2"/>
    <w:rsid w:val="3EAAEF46"/>
    <w:rsid w:val="3F2E0EE4"/>
    <w:rsid w:val="40B66D7A"/>
    <w:rsid w:val="41A530A5"/>
    <w:rsid w:val="42AC2044"/>
    <w:rsid w:val="437E3339"/>
    <w:rsid w:val="44E2F39A"/>
    <w:rsid w:val="44E75B3E"/>
    <w:rsid w:val="4571A110"/>
    <w:rsid w:val="458D3F8A"/>
    <w:rsid w:val="4660AFB8"/>
    <w:rsid w:val="4747FE95"/>
    <w:rsid w:val="478AB285"/>
    <w:rsid w:val="481BC9E5"/>
    <w:rsid w:val="481DCB95"/>
    <w:rsid w:val="484C249D"/>
    <w:rsid w:val="48B878B7"/>
    <w:rsid w:val="499A6DA5"/>
    <w:rsid w:val="49ACF5AD"/>
    <w:rsid w:val="49C032BC"/>
    <w:rsid w:val="4A6CCC25"/>
    <w:rsid w:val="4C2BCC65"/>
    <w:rsid w:val="4C778481"/>
    <w:rsid w:val="4C792232"/>
    <w:rsid w:val="4CB49A8C"/>
    <w:rsid w:val="4DCF3192"/>
    <w:rsid w:val="4DEDACF9"/>
    <w:rsid w:val="4E1E2E64"/>
    <w:rsid w:val="4ECAB94A"/>
    <w:rsid w:val="4F27EE36"/>
    <w:rsid w:val="4FD42890"/>
    <w:rsid w:val="504203E4"/>
    <w:rsid w:val="50E19BE1"/>
    <w:rsid w:val="513B5CA4"/>
    <w:rsid w:val="51672B92"/>
    <w:rsid w:val="518F9E19"/>
    <w:rsid w:val="51DA259B"/>
    <w:rsid w:val="51DE326D"/>
    <w:rsid w:val="5344D2F2"/>
    <w:rsid w:val="536CA65C"/>
    <w:rsid w:val="53CDCC73"/>
    <w:rsid w:val="541AF148"/>
    <w:rsid w:val="54244B1B"/>
    <w:rsid w:val="542EB4C9"/>
    <w:rsid w:val="552E747D"/>
    <w:rsid w:val="559DAD77"/>
    <w:rsid w:val="56163189"/>
    <w:rsid w:val="567B4F81"/>
    <w:rsid w:val="57801450"/>
    <w:rsid w:val="57E49DA0"/>
    <w:rsid w:val="58225285"/>
    <w:rsid w:val="5833D511"/>
    <w:rsid w:val="58532463"/>
    <w:rsid w:val="5896B624"/>
    <w:rsid w:val="5A474709"/>
    <w:rsid w:val="5B2C69A3"/>
    <w:rsid w:val="5BC5AA9B"/>
    <w:rsid w:val="5C58FB2D"/>
    <w:rsid w:val="5C9C4987"/>
    <w:rsid w:val="5CD23B02"/>
    <w:rsid w:val="5D2882FE"/>
    <w:rsid w:val="5D2931F0"/>
    <w:rsid w:val="5D92DE15"/>
    <w:rsid w:val="5E207054"/>
    <w:rsid w:val="5E2321B4"/>
    <w:rsid w:val="5E2D2769"/>
    <w:rsid w:val="5E3A241D"/>
    <w:rsid w:val="5E4ABA55"/>
    <w:rsid w:val="5F4BBD12"/>
    <w:rsid w:val="5FE9EB01"/>
    <w:rsid w:val="5FEDE9D1"/>
    <w:rsid w:val="6046D935"/>
    <w:rsid w:val="60738780"/>
    <w:rsid w:val="60DB19B1"/>
    <w:rsid w:val="6196F4CE"/>
    <w:rsid w:val="61978195"/>
    <w:rsid w:val="61C2A11A"/>
    <w:rsid w:val="61C346DF"/>
    <w:rsid w:val="622CB408"/>
    <w:rsid w:val="62FF6043"/>
    <w:rsid w:val="63205F1C"/>
    <w:rsid w:val="632D14A5"/>
    <w:rsid w:val="6424C402"/>
    <w:rsid w:val="6424FEF1"/>
    <w:rsid w:val="64DAAC72"/>
    <w:rsid w:val="64FF7D85"/>
    <w:rsid w:val="653BE5F0"/>
    <w:rsid w:val="656EBC66"/>
    <w:rsid w:val="65B51E2A"/>
    <w:rsid w:val="676B3C17"/>
    <w:rsid w:val="68147977"/>
    <w:rsid w:val="68156EEA"/>
    <w:rsid w:val="68227CED"/>
    <w:rsid w:val="68C7B6DA"/>
    <w:rsid w:val="68CC63E1"/>
    <w:rsid w:val="696DAA3D"/>
    <w:rsid w:val="6988F2A9"/>
    <w:rsid w:val="6A4994F7"/>
    <w:rsid w:val="6AAD1B46"/>
    <w:rsid w:val="6ADDB7AE"/>
    <w:rsid w:val="6B3C6FAB"/>
    <w:rsid w:val="6B8413BC"/>
    <w:rsid w:val="6BEE1A04"/>
    <w:rsid w:val="6C6BB954"/>
    <w:rsid w:val="6C76A16F"/>
    <w:rsid w:val="6C98D86F"/>
    <w:rsid w:val="6CD9F37B"/>
    <w:rsid w:val="6D06C826"/>
    <w:rsid w:val="6D3F0E0C"/>
    <w:rsid w:val="6D5E6689"/>
    <w:rsid w:val="6DA97969"/>
    <w:rsid w:val="6DCE8907"/>
    <w:rsid w:val="6E8E8995"/>
    <w:rsid w:val="6E8EFBE1"/>
    <w:rsid w:val="6EAE987E"/>
    <w:rsid w:val="6EDADE0C"/>
    <w:rsid w:val="6EE4F766"/>
    <w:rsid w:val="6F10F671"/>
    <w:rsid w:val="7001EE5C"/>
    <w:rsid w:val="70C8A8D8"/>
    <w:rsid w:val="7165B74A"/>
    <w:rsid w:val="71D63DD7"/>
    <w:rsid w:val="71D6414C"/>
    <w:rsid w:val="7267F5CA"/>
    <w:rsid w:val="727407FA"/>
    <w:rsid w:val="738985C8"/>
    <w:rsid w:val="73E91AE4"/>
    <w:rsid w:val="74012E27"/>
    <w:rsid w:val="7433A611"/>
    <w:rsid w:val="75244BD9"/>
    <w:rsid w:val="759CB2A2"/>
    <w:rsid w:val="760895C8"/>
    <w:rsid w:val="76093E1A"/>
    <w:rsid w:val="7636972E"/>
    <w:rsid w:val="7641FD9E"/>
    <w:rsid w:val="769B6279"/>
    <w:rsid w:val="77026C05"/>
    <w:rsid w:val="78309E6D"/>
    <w:rsid w:val="78A13169"/>
    <w:rsid w:val="7980DA60"/>
    <w:rsid w:val="79C8D3F2"/>
    <w:rsid w:val="7ADC9424"/>
    <w:rsid w:val="7AE9516E"/>
    <w:rsid w:val="7AECFA50"/>
    <w:rsid w:val="7B175F52"/>
    <w:rsid w:val="7B79E938"/>
    <w:rsid w:val="7BB5E64C"/>
    <w:rsid w:val="7BDA1864"/>
    <w:rsid w:val="7C8D4AD5"/>
    <w:rsid w:val="7C9284D6"/>
    <w:rsid w:val="7D9C6F5D"/>
    <w:rsid w:val="7DB7A68F"/>
    <w:rsid w:val="7E76A2F3"/>
    <w:rsid w:val="7EA4059C"/>
    <w:rsid w:val="7ED20B83"/>
    <w:rsid w:val="7EF7B606"/>
    <w:rsid w:val="7FD80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8840C"/>
  <w15:chartTrackingRefBased/>
  <w15:docId w15:val="{AE9EA3DC-B2E8-448C-B859-C51B310DFDE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2CF6B933"/>
    <w:rPr>
      <w:noProof w:val="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CF6B933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2CF6B933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2CF6B933"/>
    <w:pPr>
      <w:tabs>
        <w:tab w:val="center" w:leader="none" w:pos="4680"/>
        <w:tab w:val="right" w:leader="none" w:pos="9360"/>
      </w:tabs>
      <w:spacing w:after="0" w:line="240" w:lineRule="auto"/>
    </w:pPr>
  </w:style>
  <w:style w:type="character" w:styleId="Hyperlink">
    <w:uiPriority w:val="99"/>
    <w:name w:val="Hyperlink"/>
    <w:basedOn w:val="DefaultParagraphFont"/>
    <w:unhideWhenUsed/>
    <w:rsid w:val="2CF6B933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2.cfc.org.br/sisweb/sre/detalhes_sre.aspx?Codigo=2009/001224" TargetMode="External" Id="R0d21d88aeb0b4424" /><Relationship Type="http://schemas.openxmlformats.org/officeDocument/2006/relationships/hyperlink" Target="https://www.rad.cvm.gov.br/ENETWEB/frmGerenciaPaginaFRE.aspx?NumeroSequencialDocumento=154674&amp;CodigoTipoInstituicao=1" TargetMode="External" Id="R20a7b3dd3c3d476f" /><Relationship Type="http://schemas.openxmlformats.org/officeDocument/2006/relationships/hyperlink" Target="https://www2.cfc.org.br/sisweb/sre/detalhes_sre.aspx?Codigo=2009/001224" TargetMode="External" Id="R586fa103dfbe4b4b" /><Relationship Type="http://schemas.openxmlformats.org/officeDocument/2006/relationships/hyperlink" Target="https://ri.suzano.com.br/Portuguese/Arquivamentos/Documentos-entregues-a-CVM/default.aspx" TargetMode="External" Id="Rfd52aa7f8dc44ca8" /><Relationship Type="http://schemas.openxmlformats.org/officeDocument/2006/relationships/header" Target="header.xml" Id="Rc9f90402fbb343fe" /><Relationship Type="http://schemas.openxmlformats.org/officeDocument/2006/relationships/footer" Target="footer.xml" Id="R6ef305a69c324e58" /><Relationship Type="http://schemas.microsoft.com/office/2020/10/relationships/intelligence" Target="intelligence2.xml" Id="R45ac471dd5034b71" /><Relationship Type="http://schemas.openxmlformats.org/officeDocument/2006/relationships/numbering" Target="numbering.xml" Id="Rfdbebe9b4b4d44f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2026-10-19T18:31:55.3078925Z</dcterms:created>
  <dcterms:modified xsi:type="dcterms:W3CDTF">2026-10-22T23:42:37.3625136Z</dcterms:modified>
  <dc:creator>Gabriela Aparecida Parreira</dc:creator>
  <lastModifiedBy>Gabriela Aparecida Parreira</lastModifiedBy>
</coreProperties>
</file>