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61B268" wp14:paraId="11926174" wp14:textId="1E435A80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6561B268" wp14:paraId="34E3F4B4" wp14:textId="3C71EE23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570 - </w:t>
      </w:r>
      <w:r w:rsidRPr="6561B268" w:rsidR="1FC78638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Continuidade operacional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468"/>
        <w:gridCol w:w="4557"/>
      </w:tblGrid>
      <w:tr w:rsidR="6561B268" w:rsidTr="6561B268" w14:paraId="1954E5D4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3FE75BC" w14:textId="5972D1D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6561B268" w:rsidP="6561B268" w:rsidRDefault="6561B268" w14:paraId="373C4AE9" w14:textId="076C6D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570</w:t>
            </w:r>
          </w:p>
        </w:tc>
        <w:tc>
          <w:tcPr>
            <w:tcW w:w="3468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B213D57" w14:textId="2819A5D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6561B268" w:rsidP="6561B268" w:rsidRDefault="6561B268" w14:paraId="0556D4C7" w14:textId="1C8174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557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15A721D" w14:textId="039AD79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6561B268" w:rsidP="6561B268" w:rsidRDefault="6561B268" w14:paraId="70B31D47" w14:textId="3F892B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6561B268" w:rsidTr="6561B268" w14:paraId="54EEBDB3">
        <w:trPr>
          <w:trHeight w:val="300"/>
        </w:trPr>
        <w:tc>
          <w:tcPr>
            <w:tcW w:w="5058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E53AFCA" w14:textId="7C9E439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6561B268" w:rsidP="6561B268" w:rsidRDefault="6561B268" w14:paraId="39D48C2F" w14:textId="33A0F0C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570 – Continuidade operacional (texto vigente para 2025)</w:t>
            </w:r>
          </w:p>
        </w:tc>
        <w:tc>
          <w:tcPr>
            <w:tcW w:w="4557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7D6C109" w14:textId="26637CC7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6561B268" w:rsidP="6561B268" w:rsidRDefault="6561B268" w14:paraId="69013F00" w14:textId="700336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10–18, 21–25</w:t>
            </w:r>
          </w:p>
        </w:tc>
      </w:tr>
      <w:tr w:rsidR="6561B268" w:rsidTr="6561B268" w14:paraId="2DB297F0">
        <w:trPr>
          <w:trHeight w:val="300"/>
        </w:trPr>
        <w:tc>
          <w:tcPr>
            <w:tcW w:w="5058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78DDE90" w14:textId="0518FAC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570 (texto vigente para 2025) – arquivo de normas da disciplina. NBC TA 570 (R1), aplicável a partir de 2027, acesso em 22/10/2026: </w:t>
            </w:r>
            <w:hyperlink r:id="R3c6a64fbbf754f82">
              <w:r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color w:val="262626" w:themeColor="text1" w:themeTint="D9" w:themeShade="FF"/>
                  <w:sz w:val="18"/>
                  <w:szCs w:val="18"/>
                </w:rPr>
                <w:t xml:space="preserve">NBC TA 570 (R1)</w:t>
              </w:r>
            </w:hyperlink>
          </w:p>
        </w:tc>
        <w:tc>
          <w:tcPr>
            <w:tcW w:w="4557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33D7D08" w14:textId="2F0B44D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43E87EAF" w:rsidP="6561B268" w:rsidRDefault="43E87EAF" w14:paraId="1490FBD8" w14:textId="66A1F642">
            <w:pPr>
              <w:bidi w:val="0"/>
              <w:spacing w:after="0" w:line="252" w:lineRule="auto"/>
            </w:pPr>
            <w:r w:rsidRPr="6561B268" w:rsidR="43E87EA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Realizado com evidência pública: executado com documentos e informações efetivamente disponíveis.  </w:t>
            </w:r>
          </w:p>
        </w:tc>
      </w:tr>
    </w:tbl>
    <w:p xmlns:wp14="http://schemas.microsoft.com/office/word/2010/wordml" w:rsidP="6561B268" wp14:paraId="665646DC" wp14:textId="0ACBF1B8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561B268" wp14:paraId="1FF29631" wp14:textId="515A49E6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reais; não constitui opinião. A NBC TA 570 (R1), publicada em 25/09/2026, só se aplica a períodos iniciados a partir de 01/01/2027 (F3); para 2025 foi aplicado o texto anterior. Valores em R$ mil, consolidado. Sem dados simulados.</w:t>
      </w:r>
    </w:p>
    <w:p xmlns:wp14="http://schemas.microsoft.com/office/word/2010/wordml" w:rsidP="6561B268" wp14:paraId="491D41D6" wp14:textId="73CEE67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6561B268" wp14:paraId="0E935252" wp14:textId="55E6A5E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Concluir se é apropriado o uso da base contábil de continuidade operacional e se existe incerteza relevante sobre a capacidade da Suzano de continuar operando por pelo menos 12 meses após 31/12/2025 (itens 9, 12, 13 e 18).</w:t>
      </w:r>
    </w:p>
    <w:p xmlns:wp14="http://schemas.microsoft.com/office/word/2010/wordml" w:rsidP="6561B268" wp14:paraId="6922CBA4" wp14:textId="696D0EBE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6561B268" w:rsidTr="6561B268" w14:paraId="2386C20A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4976DB7" w14:textId="1082C3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7EB8A3C" w14:textId="393E9C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764AC1A" w14:textId="432F71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5B6CA18" w14:textId="5E6EB54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6561B268" w:rsidTr="6561B268" w14:paraId="1F30715B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9FA9064" w14:textId="2C0CA0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291BEC5" w14:textId="5EED85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2b7e9bc6611c44ac">
              <w:r w:rsidRPr="6561B268" w:rsidR="1501FD52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F26A0C9" w14:textId="76C433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EA79119" w14:textId="6875CA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25–28 (BP), 30 (DRE), 32–34 (DFC), 103, 161, 166, 189–190</w:t>
            </w:r>
          </w:p>
        </w:tc>
      </w:tr>
      <w:tr w:rsidR="6561B268" w:rsidTr="6561B268" w14:paraId="70B84F9F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52D4981" w14:textId="793226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B868AF9" w14:textId="28188C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570 (R1) – CFC: </w:t>
            </w:r>
            <w:hyperlink r:id="Rc214d04fe6e94345">
              <w:r w:rsidRPr="6561B268" w:rsidR="1AAE750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570 (R1)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9200126" w14:textId="262CD7F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05E06AB" w14:textId="4062BF7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Consultada só para registro de vigência</w:t>
            </w:r>
          </w:p>
        </w:tc>
      </w:tr>
      <w:tr w:rsidR="6561B268" w:rsidTr="6561B268" w14:paraId="444F3EAA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F5D7BD5" w14:textId="1B7CCD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6963052" w14:textId="7EC076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Notícia CRCSP sobre a publicação das novas NBC TAs: </w:t>
            </w:r>
            <w:hyperlink r:id="R4cf587819fe74f3c">
              <w:r w:rsidRPr="6561B268" w:rsidR="6561B268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https://online.crcsp.org.br/portal/noticias/noticia.asp?c=11359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F861ADB" w14:textId="61C7B5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FB91045" w14:textId="6994BC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Vigência a partir de 2027</w:t>
            </w:r>
          </w:p>
        </w:tc>
      </w:tr>
    </w:tbl>
    <w:p xmlns:wp14="http://schemas.microsoft.com/office/word/2010/wordml" w:rsidP="6561B268" wp14:paraId="214B3C6B" wp14:textId="3215EB0D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Critério: indicadores de eventos ou condições do item A3 da norma (financeiros, operacionais e outros).</w:t>
      </w:r>
    </w:p>
    <w:p xmlns:wp14="http://schemas.microsoft.com/office/word/2010/wordml" w:rsidP="6561B268" wp14:paraId="6A70C95A" wp14:textId="7C479A2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INDICADORES FINANCEIROS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95"/>
        <w:gridCol w:w="1545"/>
        <w:gridCol w:w="1545"/>
        <w:gridCol w:w="3630"/>
      </w:tblGrid>
      <w:tr w:rsidR="6561B268" w:rsidTr="6561B268" w14:paraId="2C15E38C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5A77D35" w14:textId="2EC00B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Indicador</w:t>
            </w:r>
          </w:p>
        </w:tc>
        <w:tc>
          <w:tcPr>
            <w:tcW w:w="15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1C2F189" w14:textId="6B96C1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2024</w:t>
            </w:r>
          </w:p>
        </w:tc>
        <w:tc>
          <w:tcPr>
            <w:tcW w:w="15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CC94741" w14:textId="3DC9E8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2025</w:t>
            </w:r>
          </w:p>
        </w:tc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8CE1928" w14:textId="2B35A2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Leitura</w:t>
            </w:r>
          </w:p>
        </w:tc>
      </w:tr>
      <w:tr w:rsidR="6561B268" w:rsidTr="6561B268" w14:paraId="3E17940A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B80E671" w14:textId="2873A1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Lucro (prejuízo) consolidado</w:t>
            </w:r>
          </w:p>
        </w:tc>
        <w:tc>
          <w:tcPr>
            <w:tcW w:w="15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E913FB4" w14:textId="619A17B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(7.044.706)</w:t>
            </w:r>
          </w:p>
        </w:tc>
        <w:tc>
          <w:tcPr>
            <w:tcW w:w="15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C104EA0" w14:textId="5069349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13.437.687</w:t>
            </w:r>
          </w:p>
        </w:tc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0465B48" w14:textId="3E2FC2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Prejuízo de 2024 veio da variação cambial sobre a dívida em dólar, sem saída de caixa</w:t>
            </w:r>
          </w:p>
        </w:tc>
      </w:tr>
      <w:tr w:rsidR="6561B268" w:rsidTr="6561B268" w14:paraId="481251FF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3039156" w14:textId="677DC5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Caixa das atividades operacionais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BDC80D6" w14:textId="56FC725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20.604.427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593C164" w14:textId="1B22162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18.152.175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72B081C" w14:textId="24714F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Geração de caixa forte nos dois anos</w:t>
            </w:r>
          </w:p>
        </w:tc>
      </w:tr>
      <w:tr w:rsidR="6561B268" w:rsidTr="6561B268" w14:paraId="14DBB9DE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19D59FF" w14:textId="4A13C9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Caixa, equivalentes e aplicações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A98F6C5" w14:textId="3620EB5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22.382.329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3892F89" w14:textId="1F3EAA8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25.432.207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468624A" w14:textId="4D8524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Cobre 8 vezes a dívida de curto prazo</w:t>
            </w:r>
          </w:p>
        </w:tc>
      </w:tr>
      <w:tr w:rsidR="6561B268" w:rsidTr="6561B268" w14:paraId="4CC4A712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F6F3DC8" w14:textId="2F5379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Empréstimos no circulante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48FCDD3" w14:textId="392FA47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10.501.387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0220731" w14:textId="3BF32E5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3.004.905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7B16DF4" w14:textId="56B79B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Pouca dívida vencendo em 12 meses</w:t>
            </w:r>
          </w:p>
        </w:tc>
      </w:tr>
      <w:tr w:rsidR="6561B268" w:rsidTr="6561B268" w14:paraId="48E5E97B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89E21FA" w14:textId="6E5F1A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Liquidez corrente (AC ÷ PC)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236EB61" w14:textId="213B5E0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1,72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64E37BF" w14:textId="6CAC697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3,19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9ED11DA" w14:textId="3D7438F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Folgada</w:t>
            </w:r>
          </w:p>
        </w:tc>
      </w:tr>
      <w:tr w:rsidR="6561B268" w:rsidTr="6561B268" w14:paraId="711F981C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AED4B97" w14:textId="72A320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Dívida líquida ÷ EBITDA ajustado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4766DB1" w14:textId="19273B9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4DC7943" w14:textId="145BC34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3,2 vezes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586DFDE" w14:textId="5D0737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69.369.050 ÷ 21.736.320</w:t>
            </w:r>
          </w:p>
        </w:tc>
      </w:tr>
      <w:tr w:rsidR="6561B268" w:rsidTr="6561B268" w14:paraId="67CD20AE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62E223D" w14:textId="3BC6EE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Patrimônio líquido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11D8FC9" w14:textId="5BA0DA9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32.415.575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E7CF480" w14:textId="79A3317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43.952.173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7B621AF" w14:textId="37ADA4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Positivo e crescente</w:t>
            </w:r>
          </w:p>
        </w:tc>
      </w:tr>
    </w:tbl>
    <w:p xmlns:wp14="http://schemas.microsoft.com/office/word/2010/wordml" w:rsidP="6561B268" wp14:paraId="2FDC17BB" wp14:textId="64DF5B52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Liquidez corrente 2024: 42.182.960 ÷ 24.477.938. Dívida líquida 2025: empréstimos 94.801.257 – caixa e aplicações 25.432.207.</w:t>
      </w:r>
    </w:p>
    <w:p xmlns:wp14="http://schemas.microsoft.com/office/word/2010/wordml" w:rsidP="6561B268" wp14:paraId="60A96142" wp14:textId="15EEE6E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OUTROS EVENTOS E CONDIÇÕES</w:t>
      </w:r>
    </w:p>
    <w:p xmlns:wp14="http://schemas.microsoft.com/office/word/2010/wordml" w:rsidP="6561B268" wp14:paraId="55B2E401" wp14:textId="45A0FF9F">
      <w:pPr>
        <w:pStyle w:val="ListParagraph"/>
        <w:numPr>
          <w:ilvl w:val="0"/>
          <w:numId w:val="1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Clá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usulas restritivas: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a Companhia não tem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covenants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financeiros (F1 p. 166); não há risco de venc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imento antecipado por índice.</w:t>
      </w:r>
    </w:p>
    <w:p xmlns:wp14="http://schemas.microsoft.com/office/word/2010/wordml" w:rsidP="6561B268" wp14:paraId="6A7FC71D" wp14:textId="0A43305B">
      <w:pPr>
        <w:pStyle w:val="ListParagraph"/>
        <w:numPr>
          <w:ilvl w:val="0"/>
          <w:numId w:val="1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Linhas de crédito: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nova linha rotativa de US$ 1,775 bi (R$ 9.766.760 mil), disponível até 2031 (F1 p. 189).</w:t>
      </w:r>
    </w:p>
    <w:p xmlns:wp14="http://schemas.microsoft.com/office/word/2010/wordml" w:rsidP="6561B268" wp14:paraId="0C586C25" wp14:textId="2276BB32">
      <w:pPr>
        <w:pStyle w:val="ListParagraph"/>
        <w:numPr>
          <w:ilvl w:val="0"/>
          <w:numId w:val="1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Compromissos em 12 meses: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pagamento da joint venture com a Kimberly-Clark, estimado em US$ 1,734 bi (R$ 9.541.000 mil), e parcela de R$ 819.970 mil da permuta de ativos biológicos (F1 p. 103 e 161). Ambos cabem no caixa disponível.</w:t>
      </w:r>
    </w:p>
    <w:p xmlns:wp14="http://schemas.microsoft.com/office/word/2010/wordml" w:rsidP="6561B268" wp14:paraId="4451ABC7" wp14:textId="66FC992A">
      <w:pPr>
        <w:pStyle w:val="ListParagraph"/>
        <w:numPr>
          <w:ilvl w:val="0"/>
          <w:numId w:val="1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Operacionais: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perda de mercado, de fornecedores-chave ou de licenças relevantes nas fontes públicas; riscos de logística, clima e TI estão nos fatores de risco (PT 402).</w:t>
      </w:r>
    </w:p>
    <w:p xmlns:wp14="http://schemas.microsoft.com/office/word/2010/wordml" w:rsidP="6561B268" wp14:paraId="15794DA3" wp14:textId="6BECA2AF">
      <w:pPr>
        <w:pStyle w:val="ListParagraph"/>
        <w:numPr>
          <w:ilvl w:val="0"/>
          <w:numId w:val="1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Relatório do auditor real: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seção de incerteza relevante sobre continuidade (F1 p. 196–200).</w:t>
      </w:r>
    </w:p>
    <w:p xmlns:wp14="http://schemas.microsoft.com/office/word/2010/wordml" w:rsidP="6561B268" wp14:paraId="1E174CB9" wp14:textId="77451F78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AVALIAÇÃO DA ADMINISTRAÇÃO (ITENS 12–16)</w:t>
      </w:r>
    </w:p>
    <w:p xmlns:wp14="http://schemas.microsoft.com/office/word/2010/wordml" w:rsidP="6561B268" wp14:paraId="0DB1304F" wp14:textId="0D74D53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avaliação formal da administração (projeções de caixa de 12 meses) não é pública. Procedimentos planejados: obter e revisar as projeções, comparar premissas com o orçamento e com a realização de 2025, testar o cenário de queda do preço da celulose e de alta do dólar, e indagar sobre eventos além de 12 meses (item 15).</w:t>
      </w:r>
    </w:p>
    <w:p xmlns:wp14="http://schemas.microsoft.com/office/word/2010/wordml" w:rsidP="6561B268" wp14:paraId="10E7CD24" wp14:textId="620E8A8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6561B268" w:rsidTr="6561B268" w14:paraId="216E09B8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DAB7708" w14:textId="558FF8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3BDEE6A" w14:textId="36C35B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DC041AE" w14:textId="3A53B7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6561B268" w:rsidTr="6561B268" w14:paraId="76FF10DD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EDA3127" w14:textId="759B74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Calcular indicadores financeiros e de liquidez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ABE10C3" w14:textId="249CB9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796B46AB" w14:textId="56A504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3</w:t>
            </w:r>
          </w:p>
        </w:tc>
      </w:tr>
      <w:tr w:rsidR="6561B268" w:rsidTr="6561B268" w14:paraId="79CCD6F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305CF4F" w14:textId="34F79B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Verificar covenants, linhas de crédito e compromissos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ECDFC92" w14:textId="050325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05C9EA3" w14:textId="4FA9ED3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6561B268" w:rsidTr="6561B268" w14:paraId="7029F7E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62673A5" w14:textId="167ADA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Revisar a avaliação e as projeções da administração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ACD39BC" w14:textId="76DED7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025BA90" w14:textId="6919A2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6561B268" w:rsidTr="6561B268" w14:paraId="7B0A40C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B34AD8C" w14:textId="126BEE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Representação formal sobre planos futuros (item 16(e))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1619088" w14:textId="5EF850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B89589E" w14:textId="0E4E79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580</w:t>
            </w:r>
          </w:p>
        </w:tc>
      </w:tr>
      <w:tr w:rsidR="6561B268" w:rsidTr="6561B268" w14:paraId="1A0C880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417EC808" w14:textId="6F8EC1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Comunicar à governança, se houver dúvida significativa (item 25)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078171F1" w14:textId="34E5AC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aplicável – sem dúvida identificada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49E8324" w14:textId="518F273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260</w:t>
            </w:r>
          </w:p>
        </w:tc>
      </w:tr>
    </w:tbl>
    <w:p xmlns:wp14="http://schemas.microsoft.com/office/word/2010/wordml" w:rsidP="6561B268" wp14:paraId="00A7C792" wp14:textId="4A32499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6561B268" wp14:paraId="6275465A" wp14:textId="086C238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Não foram identificados eventos ou condições que levantem dúvida significativa sobre a continuidade operacional. Pelas evidências públicas, o uso da base de continuidade é apropriado e não há incerteza relevante a divulgar.</w:t>
      </w:r>
    </w:p>
    <w:p xmlns:wp14="http://schemas.microsoft.com/office/word/2010/wordml" w:rsidP="6561B268" wp14:paraId="03C0915A" wp14:textId="423FF96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acesso às projeções de caixa da administração; a análise usa só dados históricos e compromissos divulgados.</w:t>
      </w:r>
    </w:p>
    <w:p xmlns:wp14="http://schemas.microsoft.com/office/word/2010/wordml" w:rsidP="6561B268" wp14:paraId="3551B0F2" wp14:textId="39FFEAC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6561B268" w:rsidR="1FC786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260, PT 402, PT 520, PT 560, PT 580 e PT CI.</w:t>
      </w:r>
    </w:p>
    <w:p xmlns:wp14="http://schemas.microsoft.com/office/word/2010/wordml" w:rsidP="6561B268" wp14:paraId="7AD0FAE2" wp14:textId="6503F74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6561B268" w:rsidR="1FC786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6561B268" w:rsidTr="6561B268" w14:paraId="0E6DBD69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2B0E320" w14:textId="7907FA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42C3A16" w14:textId="4F9537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1F0FA980" w14:textId="7010BB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8957B15" w14:textId="28D486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561B268" w:rsidR="6561B26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6561B268" w:rsidTr="6561B268" w14:paraId="4D2A2E81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64254923" w14:textId="140DE2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551BA0DA" w14:textId="012AC2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561B268" w:rsidR="6561B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31A0E496" w14:textId="62B1B4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561B268" w:rsidP="6561B268" w:rsidRDefault="6561B268" w14:paraId="2C7BD030" w14:textId="5CA246F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6561B268" wp14:paraId="7E50E035" wp14:textId="73E5DC26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561B268" wp14:paraId="1E207724" wp14:textId="5262AE9C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3e4a437c2414439"/>
      <w:footerReference w:type="default" r:id="R39d314d2ff754f1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61B268" w:rsidTr="6561B268" w14:paraId="31351362">
      <w:trPr>
        <w:trHeight w:val="300"/>
      </w:trPr>
      <w:tc>
        <w:tcPr>
          <w:tcW w:w="3005" w:type="dxa"/>
          <w:tcMar/>
        </w:tcPr>
        <w:p w:rsidR="6561B268" w:rsidP="6561B268" w:rsidRDefault="6561B268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561B268" w:rsidP="6561B268" w:rsidRDefault="6561B268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561B268" w:rsidP="6561B268" w:rsidRDefault="6561B268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6561B268" w:rsidP="6561B268" w:rsidRDefault="6561B268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6561B268" w:rsidTr="6561B268" w14:paraId="48649118">
      <w:trPr>
        <w:trHeight w:val="300"/>
      </w:trPr>
      <w:tc>
        <w:tcPr>
          <w:tcW w:w="3005" w:type="dxa"/>
          <w:tcMar/>
        </w:tcPr>
        <w:p w:rsidR="6561B268" w:rsidP="6561B268" w:rsidRDefault="6561B268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6561B268" w:rsidP="6561B268" w:rsidRDefault="6561B268" w14:paraId="5B6C9BD4" w14:textId="296D689B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6561B268" w:rsidR="6561B268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6561B268" w:rsidR="6561B268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570</w:t>
          </w:r>
        </w:p>
      </w:tc>
    </w:tr>
  </w:tbl>
  <w:p w:rsidR="6561B268" w:rsidP="6561B268" w:rsidRDefault="6561B268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263a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69d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b4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5184C4B"/>
    <w:rsid w:val="05453B5E"/>
    <w:rsid w:val="0560877E"/>
    <w:rsid w:val="059CB6AA"/>
    <w:rsid w:val="061AA162"/>
    <w:rsid w:val="06608DB5"/>
    <w:rsid w:val="06D85269"/>
    <w:rsid w:val="073EEE6D"/>
    <w:rsid w:val="075D1341"/>
    <w:rsid w:val="08AD9AE3"/>
    <w:rsid w:val="08AE989A"/>
    <w:rsid w:val="08C90D6B"/>
    <w:rsid w:val="09318637"/>
    <w:rsid w:val="09673444"/>
    <w:rsid w:val="09714B5B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68121F"/>
    <w:rsid w:val="10FBA532"/>
    <w:rsid w:val="11A06382"/>
    <w:rsid w:val="12708081"/>
    <w:rsid w:val="131A14A3"/>
    <w:rsid w:val="134DD7FB"/>
    <w:rsid w:val="13AB68CB"/>
    <w:rsid w:val="13C18680"/>
    <w:rsid w:val="13EAC771"/>
    <w:rsid w:val="1473AE62"/>
    <w:rsid w:val="14BAA7E7"/>
    <w:rsid w:val="14E42F05"/>
    <w:rsid w:val="1501FD52"/>
    <w:rsid w:val="150FCECF"/>
    <w:rsid w:val="16A77933"/>
    <w:rsid w:val="16FA562A"/>
    <w:rsid w:val="176A2F18"/>
    <w:rsid w:val="1816DE17"/>
    <w:rsid w:val="1883A56F"/>
    <w:rsid w:val="1884274B"/>
    <w:rsid w:val="18BEE493"/>
    <w:rsid w:val="18C6A329"/>
    <w:rsid w:val="194E15AA"/>
    <w:rsid w:val="19CD751C"/>
    <w:rsid w:val="19D6320C"/>
    <w:rsid w:val="19FEA1DB"/>
    <w:rsid w:val="1A85A6A2"/>
    <w:rsid w:val="1A8C2314"/>
    <w:rsid w:val="1A9002EE"/>
    <w:rsid w:val="1AAE7505"/>
    <w:rsid w:val="1B1038F5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1FC78638"/>
    <w:rsid w:val="20108AB1"/>
    <w:rsid w:val="2042C1AA"/>
    <w:rsid w:val="20611B13"/>
    <w:rsid w:val="20A18B2C"/>
    <w:rsid w:val="20CFD3FC"/>
    <w:rsid w:val="22198A17"/>
    <w:rsid w:val="2296A7ED"/>
    <w:rsid w:val="2391A488"/>
    <w:rsid w:val="24005765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B2AD0CC"/>
    <w:rsid w:val="2BFBDDD5"/>
    <w:rsid w:val="2C6D3C94"/>
    <w:rsid w:val="2CDA5D8A"/>
    <w:rsid w:val="2CF6B933"/>
    <w:rsid w:val="2D727077"/>
    <w:rsid w:val="2EFE221F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58769F"/>
    <w:rsid w:val="355E1935"/>
    <w:rsid w:val="3573E91D"/>
    <w:rsid w:val="35BD8763"/>
    <w:rsid w:val="3623914B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604B55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3E87EAF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6CCC25"/>
    <w:rsid w:val="4BC91799"/>
    <w:rsid w:val="4C2BCC65"/>
    <w:rsid w:val="4C778481"/>
    <w:rsid w:val="4C792232"/>
    <w:rsid w:val="4CB49A8C"/>
    <w:rsid w:val="4DCF3192"/>
    <w:rsid w:val="4DEDACF9"/>
    <w:rsid w:val="4E1E2E64"/>
    <w:rsid w:val="4E41560A"/>
    <w:rsid w:val="4ECAB94A"/>
    <w:rsid w:val="4F27EE36"/>
    <w:rsid w:val="4FD42890"/>
    <w:rsid w:val="504203E4"/>
    <w:rsid w:val="50E19BE1"/>
    <w:rsid w:val="513B5CA4"/>
    <w:rsid w:val="51672B92"/>
    <w:rsid w:val="518F9E19"/>
    <w:rsid w:val="51A48DD8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474709"/>
    <w:rsid w:val="5B2C69A3"/>
    <w:rsid w:val="5B66467C"/>
    <w:rsid w:val="5BC5AA9B"/>
    <w:rsid w:val="5C58FB2D"/>
    <w:rsid w:val="5C9C4987"/>
    <w:rsid w:val="5CC7694A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4FF7D85"/>
    <w:rsid w:val="653BE5F0"/>
    <w:rsid w:val="6561B268"/>
    <w:rsid w:val="656EBC66"/>
    <w:rsid w:val="65B51E2A"/>
    <w:rsid w:val="675762A7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98D86F"/>
    <w:rsid w:val="6CD9F37B"/>
    <w:rsid w:val="6D06C826"/>
    <w:rsid w:val="6D3F0E0C"/>
    <w:rsid w:val="6D5E6689"/>
    <w:rsid w:val="6DA9796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3DD7"/>
    <w:rsid w:val="71D6414C"/>
    <w:rsid w:val="7267F5CA"/>
    <w:rsid w:val="727407FA"/>
    <w:rsid w:val="738985C8"/>
    <w:rsid w:val="73E91AE4"/>
    <w:rsid w:val="74012E27"/>
    <w:rsid w:val="7433A611"/>
    <w:rsid w:val="747A3770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DC9424"/>
    <w:rsid w:val="7AE9516E"/>
    <w:rsid w:val="7AECFA50"/>
    <w:rsid w:val="7B175F52"/>
    <w:rsid w:val="7B79E938"/>
    <w:rsid w:val="7BB5E64C"/>
    <w:rsid w:val="7BDA1864"/>
    <w:rsid w:val="7C8D4AD5"/>
    <w:rsid w:val="7C9284D6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561B268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561B26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561B26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61B26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561B26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26/NBCTA570(R1)" TargetMode="External" Id="R3c6a64fbbf754f82" /><Relationship Type="http://schemas.openxmlformats.org/officeDocument/2006/relationships/hyperlink" Target="https://www.rad.cvm.gov.br/ENETWEB/frmGerenciaPaginaFRE.aspx?NumeroSequencialDocumento=154674&amp;CodigoTipoInstituicao=1" TargetMode="External" Id="R2b7e9bc6611c44ac" /><Relationship Type="http://schemas.openxmlformats.org/officeDocument/2006/relationships/hyperlink" Target="https://www2.cfc.org.br/sisweb/sre/detalhes_sre.aspx?Codigo=2026/NBCTA570(R1)" TargetMode="External" Id="Rc214d04fe6e94345" /><Relationship Type="http://schemas.openxmlformats.org/officeDocument/2006/relationships/hyperlink" Target="https://online.crcsp.org.br/portal/noticias/noticia.asp?c=11359" TargetMode="External" Id="R4cf587819fe74f3c" /><Relationship Type="http://schemas.openxmlformats.org/officeDocument/2006/relationships/header" Target="header.xml" Id="R23e4a437c2414439" /><Relationship Type="http://schemas.openxmlformats.org/officeDocument/2006/relationships/footer" Target="footer.xml" Id="R39d314d2ff754f1f" /><Relationship Type="http://schemas.microsoft.com/office/2020/10/relationships/intelligence" Target="intelligence2.xml" Id="R97d835a81e05404f" /><Relationship Type="http://schemas.openxmlformats.org/officeDocument/2006/relationships/numbering" Target="numbering.xml" Id="Raa4b5364deb94a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2026-10-22T23:58:30.3656760Z</dcterms:modified>
  <dc:creator>Gabriela Aparecida Parreira</dc:creator>
  <lastModifiedBy>Gabriela Aparecida Parreira</lastModifiedBy>
</coreProperties>
</file>