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E3A241D" wp14:paraId="70F28691" wp14:textId="53FFACE4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5"/>
          <w:szCs w:val="15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5"/>
          <w:szCs w:val="15"/>
        </w:rPr>
        <w:t>DOSSIÊ DE AUDITORIA · SUZANO S.A.  · EXERCÍCIO 2025</w:t>
      </w:r>
    </w:p>
    <w:p xmlns:wp14="http://schemas.microsoft.com/office/word/2010/wordml" w:rsidP="5E3A241D" wp14:paraId="5099C552" wp14:textId="33E8B1E3">
      <w:pPr>
        <w:bidi w:val="0"/>
        <w:spacing w:after="20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1F3864"/>
          <w:sz w:val="34"/>
          <w:szCs w:val="34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>PT 200 -</w:t>
      </w:r>
      <w:r w:rsidRPr="5E3A241D" w:rsidR="56FDECF4">
        <w:rPr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color w:val="1F3864"/>
          <w:sz w:val="34"/>
          <w:szCs w:val="34"/>
        </w:rPr>
        <w:t xml:space="preserve"> Objetivos gerais do auditor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575"/>
        <w:gridCol w:w="3960"/>
        <w:gridCol w:w="4065"/>
      </w:tblGrid>
      <w:tr w:rsidR="5E3A241D" w:rsidTr="5E3A241D" w14:paraId="46B7CCF0">
        <w:trPr>
          <w:trHeight w:val="285"/>
        </w:trPr>
        <w:tc>
          <w:tcPr>
            <w:tcW w:w="1575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5A69868" w14:textId="2D117BD1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  <w:t>CÓDIGO</w:t>
            </w:r>
          </w:p>
          <w:p w:rsidR="5E3A241D" w:rsidP="5E3A241D" w:rsidRDefault="5E3A241D" w14:paraId="215F37D5" w14:textId="3622943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>PT 200</w:t>
            </w:r>
          </w:p>
        </w:tc>
        <w:tc>
          <w:tcPr>
            <w:tcW w:w="3960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E21044C" w14:textId="52CA3C1A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  <w:t>ENTIDADE</w:t>
            </w:r>
          </w:p>
          <w:p w:rsidR="5E3A241D" w:rsidP="5E3A241D" w:rsidRDefault="5E3A241D" w14:paraId="2A49F08A" w14:textId="5CFBB5F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>Suzano S.A. (B3: SUZB3 · NYSE: SUZ)</w:t>
            </w:r>
          </w:p>
        </w:tc>
        <w:tc>
          <w:tcPr>
            <w:tcW w:w="4065" w:type="dxa"/>
            <w:tcBorders>
              <w:top w:val="nil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A9E1423" w14:textId="100DC26E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  <w:t>EXERCÍCIO</w:t>
            </w:r>
          </w:p>
          <w:p w:rsidR="5E3A241D" w:rsidP="5E3A241D" w:rsidRDefault="5E3A241D" w14:paraId="69557890" w14:textId="7C0F0BB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>31/12/2025 (comparativo 31/12/2024)</w:t>
            </w:r>
          </w:p>
        </w:tc>
      </w:tr>
      <w:tr w:rsidR="5E3A241D" w:rsidTr="5E3A241D" w14:paraId="11637F92">
        <w:trPr>
          <w:trHeight w:val="285"/>
        </w:trPr>
        <w:tc>
          <w:tcPr>
            <w:tcW w:w="553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1410CA0" w14:textId="4BE95707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  <w:t>NORMA</w:t>
            </w:r>
          </w:p>
          <w:p w:rsidR="5E3A241D" w:rsidP="5E3A241D" w:rsidRDefault="5E3A241D" w14:paraId="39D24F9E" w14:textId="2B23B22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>NBC TA 200 (R1) – Objetivos gerais do auditor independente e a condução da auditoria em conformidade com normas de auditoria</w:t>
            </w:r>
          </w:p>
        </w:tc>
        <w:tc>
          <w:tcPr>
            <w:tcW w:w="406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7329693" w14:textId="70877EA8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  <w:t>ITENS UTILIZADOS</w:t>
            </w:r>
          </w:p>
          <w:p w:rsidR="5E3A241D" w:rsidP="5E3A241D" w:rsidRDefault="5E3A241D" w14:paraId="180C1981" w14:textId="717FA74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>11, 13(c)(e)(k)(l)(m)(n), 14–17, A16–A17, A47–A52</w:t>
            </w:r>
          </w:p>
        </w:tc>
      </w:tr>
      <w:tr w:rsidR="5E3A241D" w:rsidTr="5E3A241D" w14:paraId="32976427">
        <w:trPr>
          <w:trHeight w:val="285"/>
        </w:trPr>
        <w:tc>
          <w:tcPr>
            <w:tcW w:w="5535" w:type="dxa"/>
            <w:gridSpan w:val="2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704FC7F" w14:textId="198EA51A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  <w:t>VERSÃO CONSULTADA</w:t>
            </w:r>
          </w:p>
          <w:p w:rsidR="5E3A241D" w:rsidP="5E3A241D" w:rsidRDefault="5E3A241D" w14:paraId="0BCFC395" w14:textId="36FDF3D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 xml:space="preserve">NBC TA 200 (R1), texto do CFC – </w:t>
            </w:r>
            <w:hyperlink r:id="Rd5b948903b0748e1">
              <w:r w:rsidRPr="5E3A241D" w:rsidR="5E3A241D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trike w:val="0"/>
                  <w:dstrike w:val="0"/>
                  <w:sz w:val="18"/>
                  <w:szCs w:val="18"/>
                </w:rPr>
                <w:t>NBC TA 200</w:t>
              </w:r>
            </w:hyperlink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 xml:space="preserve"> </w:t>
            </w:r>
          </w:p>
        </w:tc>
        <w:tc>
          <w:tcPr>
            <w:tcW w:w="406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AEF443D" w14:textId="6C202F52">
            <w:pPr>
              <w:bidi w:val="0"/>
              <w:spacing w:after="20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4"/>
                <w:szCs w:val="14"/>
              </w:rPr>
              <w:t>STATUS</w:t>
            </w:r>
          </w:p>
          <w:p w:rsidR="5E3A241D" w:rsidP="5E3A241D" w:rsidRDefault="5E3A241D" w14:paraId="21EDFA05" w14:textId="24A4943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 xml:space="preserve">Realizado com evidência pública: executado com documentos e informações efetivamente disponíveis.  </w:t>
            </w:r>
          </w:p>
        </w:tc>
      </w:tr>
    </w:tbl>
    <w:p xmlns:wp14="http://schemas.microsoft.com/office/word/2010/wordml" w:rsidP="5E3A241D" wp14:paraId="0632EB57" wp14:textId="6E8536E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1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OBJETIVO E OBJETO EXAMINADO</w:t>
      </w:r>
    </w:p>
    <w:p xmlns:wp14="http://schemas.microsoft.com/office/word/2010/wordml" w:rsidP="5E3A241D" wp14:paraId="364ADCDD" wp14:textId="04E83B95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Documentar como os objetivos gerais do auditor se aplicam à auditoria da Suzano S.A. de 2025: ética e independência, ceticismo profissional, julgamento profissional, risco de auditoria e condições para obter segurança razoável (NBC TA 200, itens 11 e 14–17).</w:t>
      </w:r>
    </w:p>
    <w:p xmlns:wp14="http://schemas.microsoft.com/office/word/2010/wordml" w:rsidP="5E3A241D" wp14:paraId="68A27B8E" wp14:textId="7A35A312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Objeto examinado: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as demonstrações financeiras individuais e consolidadas de 31/12/2025 como um todo e as informações públicas sobre o auditor independente (PwC) e os órgãos de governança da Companhia.</w:t>
      </w:r>
    </w:p>
    <w:p xmlns:wp14="http://schemas.microsoft.com/office/word/2010/wordml" w:rsidP="5E3A241D" wp14:paraId="5B423B26" wp14:textId="5F46C00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2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AFIRMAÇÕES RELEVANTES E RISCOS</w:t>
      </w:r>
    </w:p>
    <w:p xmlns:wp14="http://schemas.microsoft.com/office/word/2010/wordml" w:rsidP="5E3A241D" wp14:paraId="64D45A28" wp14:textId="6BD84A01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Este PT não examina uma conta específica; ele define a postura e os parâmetros que valem para todas as afirmações do item A190 da NBC TA 315, avaliadas por conta no PT 315. Foram identificados, por julgamento do preparador, os seguintes riscos: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"/>
        <w:gridCol w:w="4050"/>
        <w:gridCol w:w="1710"/>
        <w:gridCol w:w="2385"/>
      </w:tblGrid>
      <w:tr w:rsidR="5E3A241D" w:rsidTr="5E3A241D" w14:paraId="31BE1D03">
        <w:trPr>
          <w:trHeight w:val="285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F6BB1DA" w14:textId="7E1D493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Nº</w:t>
            </w:r>
          </w:p>
        </w:tc>
        <w:tc>
          <w:tcPr>
            <w:tcW w:w="405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39CC44F" w14:textId="091980A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Risco</w:t>
            </w:r>
          </w:p>
        </w:tc>
        <w:tc>
          <w:tcPr>
            <w:tcW w:w="171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7D65EE0" w14:textId="5B2A5C9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Base</w:t>
            </w:r>
          </w:p>
        </w:tc>
        <w:tc>
          <w:tcPr>
            <w:tcW w:w="23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F281A0A" w14:textId="096FD5A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Efeito possível</w:t>
            </w:r>
          </w:p>
        </w:tc>
      </w:tr>
      <w:tr w:rsidR="5E3A241D" w:rsidTr="5E3A241D" w14:paraId="49025255">
        <w:trPr>
          <w:trHeight w:val="285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6C7902E" w14:textId="26B609C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R1</w:t>
            </w:r>
          </w:p>
        </w:tc>
        <w:tc>
          <w:tcPr>
            <w:tcW w:w="405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02B99EB" w14:textId="5D4E0AF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Falta de independência do auditor em relação à entidade</w:t>
            </w:r>
          </w:p>
        </w:tc>
        <w:tc>
          <w:tcPr>
            <w:tcW w:w="171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A61F395" w14:textId="0DDA76C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Item 14; A16–A17</w:t>
            </w:r>
          </w:p>
        </w:tc>
        <w:tc>
          <w:tcPr>
            <w:tcW w:w="23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3496B98" w14:textId="18CD81F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Opinião sem credibilidade para os usuários</w:t>
            </w:r>
          </w:p>
        </w:tc>
      </w:tr>
      <w:tr w:rsidR="5E3A241D" w:rsidTr="5E3A241D" w14:paraId="13F2BD71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A0BDB69" w14:textId="593C109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R2</w:t>
            </w:r>
          </w:p>
        </w:tc>
        <w:tc>
          <w:tcPr>
            <w:tcW w:w="40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EE8CEE2" w14:textId="3BA44BE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Aceitar sem questionamento as informações da administração</w:t>
            </w:r>
          </w:p>
        </w:tc>
        <w:tc>
          <w:tcPr>
            <w:tcW w:w="171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7E8F38A" w14:textId="35E9EAF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Itens 13(l) e 15</w:t>
            </w:r>
          </w:p>
        </w:tc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F702CF7" w14:textId="2FA7F4D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Distorção não detectada, sobretudo em estimativas</w:t>
            </w:r>
          </w:p>
        </w:tc>
      </w:tr>
      <w:tr w:rsidR="5E3A241D" w:rsidTr="5E3A241D" w14:paraId="38750E1E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481A4D5" w14:textId="4DCBDD3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R3</w:t>
            </w:r>
          </w:p>
        </w:tc>
        <w:tc>
          <w:tcPr>
            <w:tcW w:w="40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6443497" w14:textId="40CAE74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Decisões de auditoria sem fundamentação documentada</w:t>
            </w:r>
          </w:p>
        </w:tc>
        <w:tc>
          <w:tcPr>
            <w:tcW w:w="171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5081CF1" w14:textId="2C43741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Itens 13(k) e 16</w:t>
            </w:r>
          </w:p>
        </w:tc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3948C52" w14:textId="5802DF6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Conclusões frágeis ou inconsistentes entre PTs</w:t>
            </w:r>
          </w:p>
        </w:tc>
      </w:tr>
      <w:tr w:rsidR="5E3A241D" w:rsidTr="5E3A241D" w14:paraId="5B49C249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D4E6BAA" w14:textId="2AFA9FD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R4</w:t>
            </w:r>
          </w:p>
        </w:tc>
        <w:tc>
          <w:tcPr>
            <w:tcW w:w="40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50C48D2" w14:textId="7FE9094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Risco de auditoria acima do nível aceitável</w:t>
            </w:r>
          </w:p>
        </w:tc>
        <w:tc>
          <w:tcPr>
            <w:tcW w:w="171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0A7E860" w14:textId="108FB08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Itens 13(c), 13(e) e 17</w:t>
            </w:r>
          </w:p>
        </w:tc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3406340" w14:textId="1F2E08C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Opinião inadequada sobre demonstrações distorcidas</w:t>
            </w:r>
          </w:p>
        </w:tc>
      </w:tr>
      <w:tr w:rsidR="5E3A241D" w:rsidTr="5E3A241D" w14:paraId="31B9428E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3D48B01" w14:textId="3739916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R5</w:t>
            </w:r>
          </w:p>
        </w:tc>
        <w:tc>
          <w:tcPr>
            <w:tcW w:w="405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02B8285" w14:textId="72EA4B0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Tratar como segurança razoável o que este dossiê não consegue obter</w:t>
            </w:r>
          </w:p>
        </w:tc>
        <w:tc>
          <w:tcPr>
            <w:tcW w:w="171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F3CD9EE" w14:textId="337888A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Item 17; A47–A52</w:t>
            </w:r>
          </w:p>
        </w:tc>
        <w:tc>
          <w:tcPr>
            <w:tcW w:w="23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97051F7" w14:textId="672610A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Conclusão além do que a evidência permite</w:t>
            </w:r>
          </w:p>
        </w:tc>
      </w:tr>
    </w:tbl>
    <w:p xmlns:wp14="http://schemas.microsoft.com/office/word/2010/wordml" w:rsidP="5E3A241D" wp14:paraId="7CE9C9DC" wp14:textId="739BB66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3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POPULAÇÃO, FONTES E CRITÉRIOS DE SELEÇÃO</w:t>
      </w:r>
    </w:p>
    <w:p xmlns:wp14="http://schemas.microsoft.com/office/word/2010/wordml" w:rsidP="5E3A241D" wp14:paraId="5D404C1C" wp14:textId="07758628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População: as informações públicas da DFP 2025 sobre o auditor, a governança e as áreas de julgamento. Critério: documentos oficiais entregues à CVM/B3 e o texto da norma.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"/>
        <w:gridCol w:w="2895"/>
        <w:gridCol w:w="2550"/>
        <w:gridCol w:w="1050"/>
        <w:gridCol w:w="2565"/>
      </w:tblGrid>
      <w:tr w:rsidR="5E3A241D" w:rsidTr="5E3A241D" w14:paraId="2DD41FBF">
        <w:trPr>
          <w:trHeight w:val="285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A53F998" w14:textId="27038D1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Ref.</w:t>
            </w:r>
          </w:p>
        </w:tc>
        <w:tc>
          <w:tcPr>
            <w:tcW w:w="28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2E12778" w14:textId="0AFC482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Documento</w:t>
            </w:r>
          </w:p>
        </w:tc>
        <w:tc>
          <w:tcPr>
            <w:tcW w:w="255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2F59BCA" w14:textId="2A9DDF0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Endereço eletrônico</w:t>
            </w:r>
          </w:p>
        </w:tc>
        <w:tc>
          <w:tcPr>
            <w:tcW w:w="105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24EB157" w14:textId="3321E4D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Acesso</w:t>
            </w:r>
          </w:p>
        </w:tc>
        <w:tc>
          <w:tcPr>
            <w:tcW w:w="256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62221E0" w14:textId="58E5CD7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Páginas usadas</w:t>
            </w:r>
          </w:p>
        </w:tc>
      </w:tr>
      <w:tr w:rsidR="5E3A241D" w:rsidTr="5E3A241D" w14:paraId="78675FE3">
        <w:trPr>
          <w:trHeight w:val="285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6448390" w14:textId="6476FDF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F1</w:t>
            </w:r>
          </w:p>
        </w:tc>
        <w:tc>
          <w:tcPr>
            <w:tcW w:w="28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466998B" w14:textId="37BF628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DFP 31/12/2025, versão 1 – demonstrações individuais e consolidadas, notas e pareceres</w:t>
            </w:r>
          </w:p>
        </w:tc>
        <w:tc>
          <w:tcPr>
            <w:tcW w:w="255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E6AB773" w14:textId="6A35931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CVM/</w:t>
            </w: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 xml:space="preserve">B3 </w:t>
            </w:r>
            <w:hyperlink r:id="R58e771e01fa04afb">
              <w:r w:rsidRPr="5E3A241D" w:rsidR="5E3A241D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trike w:val="0"/>
                  <w:dstrike w:val="0"/>
                  <w:sz w:val="18"/>
                  <w:szCs w:val="18"/>
                </w:rPr>
                <w:t>B3 - Relatórios estruturados Suzano</w:t>
              </w:r>
            </w:hyperlink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 xml:space="preserve"> </w:t>
            </w:r>
          </w:p>
        </w:tc>
        <w:tc>
          <w:tcPr>
            <w:tcW w:w="105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573DC84" w14:textId="6622C232">
            <w:pPr>
              <w:bidi w:val="0"/>
              <w:spacing w:before="0" w:beforeAutospacing="off" w:after="0" w:afterAutospacing="off" w:line="252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19/10/2026</w:t>
            </w:r>
          </w:p>
        </w:tc>
        <w:tc>
          <w:tcPr>
            <w:tcW w:w="256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E7787B7" w14:textId="23604D2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p. 49 (controles internos e SOX); p. 197–200 (relatório do auditor); p. 201 (Conselho Fiscal); p. 202–204 (Comitê de Auditoria); p. 205 (declaração dos diretores)</w:t>
            </w:r>
          </w:p>
        </w:tc>
      </w:tr>
      <w:tr w:rsidR="5E3A241D" w:rsidTr="5E3A241D" w14:paraId="6A1B2C8C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right w:w="90" w:type="dxa"/>
            </w:tcMar>
            <w:vAlign w:val="top"/>
          </w:tcPr>
          <w:p w:rsidR="5E3A241D" w:rsidP="5E3A241D" w:rsidRDefault="5E3A241D" w14:paraId="4A8D06FE" w14:textId="6FF8561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F2</w:t>
            </w:r>
          </w:p>
        </w:tc>
        <w:tc>
          <w:tcPr>
            <w:tcW w:w="28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right w:w="90" w:type="dxa"/>
            </w:tcMar>
            <w:vAlign w:val="top"/>
          </w:tcPr>
          <w:p w:rsidR="5E3A241D" w:rsidP="5E3A241D" w:rsidRDefault="5E3A241D" w14:paraId="19075991" w14:textId="3539CC5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NBC TA 200 (R1)</w:t>
            </w:r>
          </w:p>
        </w:tc>
        <w:tc>
          <w:tcPr>
            <w:tcW w:w="25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right w:w="90" w:type="dxa"/>
            </w:tcMar>
            <w:vAlign w:val="top"/>
          </w:tcPr>
          <w:p w:rsidR="5E3A241D" w:rsidP="5E3A241D" w:rsidRDefault="5E3A241D" w14:paraId="5FBFF20E" w14:textId="1BC9A1A7">
            <w:pPr>
              <w:bidi w:val="0"/>
              <w:spacing w:after="0" w:line="252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CFC –</w:t>
            </w: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8"/>
                <w:szCs w:val="18"/>
              </w:rPr>
              <w:t xml:space="preserve"> </w:t>
            </w:r>
            <w:hyperlink r:id="Rfbf1eb445ebb4420">
              <w:r w:rsidRPr="5E3A241D" w:rsidR="5E3A241D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trike w:val="0"/>
                  <w:dstrike w:val="0"/>
                  <w:sz w:val="18"/>
                  <w:szCs w:val="18"/>
                </w:rPr>
                <w:t>NBC TA 200</w:t>
              </w:r>
            </w:hyperlink>
          </w:p>
        </w:tc>
        <w:tc>
          <w:tcPr>
            <w:tcW w:w="10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right w:w="90" w:type="dxa"/>
            </w:tcMar>
            <w:vAlign w:val="top"/>
          </w:tcPr>
          <w:p w:rsidR="5E3A241D" w:rsidP="5E3A241D" w:rsidRDefault="5E3A241D" w14:paraId="475B02EE" w14:textId="292FE38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19/10/2026</w:t>
            </w:r>
          </w:p>
        </w:tc>
        <w:tc>
          <w:tcPr>
            <w:tcW w:w="256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right w:w="90" w:type="dxa"/>
            </w:tcMar>
            <w:vAlign w:val="top"/>
          </w:tcPr>
          <w:p w:rsidR="5E3A241D" w:rsidP="5E3A241D" w:rsidRDefault="5E3A241D" w14:paraId="066AAE8D" w14:textId="7B15659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p. 29–48</w:t>
            </w:r>
          </w:p>
        </w:tc>
      </w:tr>
      <w:tr w:rsidR="5E3A241D" w:rsidTr="5E3A241D" w14:paraId="5F63FB7C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F638250" w14:textId="470C307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F3</w:t>
            </w:r>
          </w:p>
        </w:tc>
        <w:tc>
          <w:tcPr>
            <w:tcW w:w="28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B419DBA" w14:textId="4BD6A3D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Formulário de Referência 2026, versão 5 (seção 9 – Auditores)</w:t>
            </w:r>
          </w:p>
        </w:tc>
        <w:tc>
          <w:tcPr>
            <w:tcW w:w="255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1FBB9F3" w14:textId="483C5C5D">
            <w:pPr>
              <w:bidi w:val="0"/>
              <w:spacing w:after="0" w:line="252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 xml:space="preserve">RI Suzano – </w:t>
            </w:r>
            <w:hyperlink r:id="Rebe2fc002f434f66">
              <w:r w:rsidRPr="5E3A241D" w:rsidR="5E3A241D">
                <w:rPr>
                  <w:rStyle w:val="Hyperlink"/>
                  <w:rFonts w:ascii="Arial" w:hAnsi="Arial" w:eastAsia="Arial" w:cs="Arial"/>
                  <w:b w:val="0"/>
                  <w:bCs w:val="0"/>
                  <w:i w:val="0"/>
                  <w:iCs w:val="0"/>
                  <w:strike w:val="0"/>
                  <w:dstrike w:val="0"/>
                  <w:sz w:val="18"/>
                  <w:szCs w:val="18"/>
                </w:rPr>
                <w:t>Documentos entregues à CVM</w:t>
              </w:r>
            </w:hyperlink>
          </w:p>
        </w:tc>
        <w:tc>
          <w:tcPr>
            <w:tcW w:w="105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58F12F0" w14:textId="69F2C40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22/10/2026</w:t>
            </w:r>
          </w:p>
        </w:tc>
        <w:tc>
          <w:tcPr>
            <w:tcW w:w="256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8DD2F28" w14:textId="67891E1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p. 372 (identificação e honorários); p. 373 (independência)</w:t>
            </w:r>
          </w:p>
        </w:tc>
      </w:tr>
    </w:tbl>
    <w:p xmlns:wp14="http://schemas.microsoft.com/office/word/2010/wordml" w:rsidP="5E3A241D" wp14:paraId="36EE7567" wp14:textId="57BAB54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4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ÉTICA E INDEPENDÊNCIA</w:t>
      </w:r>
    </w:p>
    <w:p xmlns:wp14="http://schemas.microsoft.com/office/word/2010/wordml" w:rsidP="5E3A241D" wp14:paraId="70148911" wp14:textId="1636F28F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O auditor deve cumprir as exigências éticas relevantes, inclusive as de independência (item 14). Os princípios fundamentais estão no item A17: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980"/>
        <w:gridCol w:w="3300"/>
        <w:gridCol w:w="4335"/>
      </w:tblGrid>
      <w:tr w:rsidR="5E3A241D" w:rsidTr="5E3A241D" w14:paraId="0FB43EC3">
        <w:trPr>
          <w:trHeight w:val="285"/>
        </w:trPr>
        <w:tc>
          <w:tcPr>
            <w:tcW w:w="198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6112230" w14:textId="5AE820A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Princípio (A17)</w:t>
            </w:r>
          </w:p>
        </w:tc>
        <w:tc>
          <w:tcPr>
            <w:tcW w:w="33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6A2588C" w14:textId="00D35E4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O que exige</w:t>
            </w:r>
          </w:p>
        </w:tc>
        <w:tc>
          <w:tcPr>
            <w:tcW w:w="43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B52C018" w14:textId="4C66F89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Aplicação neste dossiê</w:t>
            </w:r>
          </w:p>
        </w:tc>
      </w:tr>
      <w:tr w:rsidR="5E3A241D" w:rsidTr="5E3A241D" w14:paraId="31CD7B2F">
        <w:trPr>
          <w:trHeight w:val="285"/>
        </w:trPr>
        <w:tc>
          <w:tcPr>
            <w:tcW w:w="198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384ECAF" w14:textId="18279CA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Integridade</w:t>
            </w:r>
          </w:p>
        </w:tc>
        <w:tc>
          <w:tcPr>
            <w:tcW w:w="33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F59BDF7" w14:textId="49E7807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Ser honesto e direto nas relações profissionais</w:t>
            </w:r>
          </w:p>
        </w:tc>
        <w:tc>
          <w:tcPr>
            <w:tcW w:w="43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769904F" w14:textId="2CF709D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Classificar cada procedimento como realizado, planejado ou simulado, sem apresentar como feito o que não ocorreu</w:t>
            </w:r>
          </w:p>
        </w:tc>
      </w:tr>
      <w:tr w:rsidR="5E3A241D" w:rsidTr="5E3A241D" w14:paraId="40B8BABB">
        <w:trPr>
          <w:trHeight w:val="285"/>
        </w:trPr>
        <w:tc>
          <w:tcPr>
            <w:tcW w:w="198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D20A4F1" w14:textId="03A49A3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Objetividade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0B6ED4D" w14:textId="3AB05F5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Não permitir que vieses ou conflitos afetem o julgamento</w:t>
            </w:r>
          </w:p>
        </w:tc>
        <w:tc>
          <w:tcPr>
            <w:tcW w:w="43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83368AD" w14:textId="005C05C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Concluir com base nas fontes, sem partir da opinião sem ressalva da PwC</w:t>
            </w:r>
          </w:p>
        </w:tc>
      </w:tr>
      <w:tr w:rsidR="5E3A241D" w:rsidTr="5E3A241D" w14:paraId="26749291">
        <w:trPr>
          <w:trHeight w:val="285"/>
        </w:trPr>
        <w:tc>
          <w:tcPr>
            <w:tcW w:w="198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7F16032" w14:textId="76FF83B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Competência e zelo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E047869" w14:textId="00319B0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Manter conhecimento técnico e agir com diligência</w:t>
            </w:r>
          </w:p>
        </w:tc>
        <w:tc>
          <w:tcPr>
            <w:tcW w:w="43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68B5FC5" w14:textId="3ECEAE9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Usar as normas vigentes para 2025 e registrar a versão consultada</w:t>
            </w:r>
          </w:p>
        </w:tc>
      </w:tr>
      <w:tr w:rsidR="5E3A241D" w:rsidTr="5E3A241D" w14:paraId="784255AA">
        <w:trPr>
          <w:trHeight w:val="285"/>
        </w:trPr>
        <w:tc>
          <w:tcPr>
            <w:tcW w:w="198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FE76305" w14:textId="023673F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Confidencialidade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0C59634" w14:textId="6637CEE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Proteger informações obtidas no trabalho</w:t>
            </w:r>
          </w:p>
        </w:tc>
        <w:tc>
          <w:tcPr>
            <w:tcW w:w="43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B9AA2A1" w14:textId="63F709F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Usar só informações públicas e não contatar a empresa, o auditor ou terceiros</w:t>
            </w:r>
          </w:p>
        </w:tc>
      </w:tr>
      <w:tr w:rsidR="5E3A241D" w:rsidTr="5E3A241D" w14:paraId="7978F82E">
        <w:trPr>
          <w:trHeight w:val="285"/>
        </w:trPr>
        <w:tc>
          <w:tcPr>
            <w:tcW w:w="198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300A1AC" w14:textId="702802C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Comportamento profissional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F002A57" w14:textId="5D6553E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Cumprir leis e evitar descrédito à profissão</w:t>
            </w:r>
          </w:p>
        </w:tc>
        <w:tc>
          <w:tcPr>
            <w:tcW w:w="43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2D5B72A" w14:textId="7586ECC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Não usar o nome da UnB ou de auditores de forma indevida</w:t>
            </w:r>
          </w:p>
        </w:tc>
      </w:tr>
    </w:tbl>
    <w:p xmlns:wp14="http://schemas.microsoft.com/office/word/2010/wordml" w:rsidP="5E3A241D" wp14:paraId="4BE54430" wp14:textId="4C4DF534">
      <w:pPr>
        <w:keepNext w:val="1"/>
        <w:bidi w:val="0"/>
        <w:spacing w:before="160" w:after="6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Independência do auditor real</w:t>
      </w:r>
    </w:p>
    <w:p xmlns:wp14="http://schemas.microsoft.com/office/word/2010/wordml" w:rsidP="5E3A241D" wp14:paraId="0E983946" wp14:textId="1FF37160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Evidências públicas encontradas:</w:t>
      </w:r>
    </w:p>
    <w:p xmlns:wp14="http://schemas.microsoft.com/office/word/2010/wordml" w:rsidP="5E3A241D" wp14:paraId="60EF1776" wp14:textId="77D40295">
      <w:pPr>
        <w:pStyle w:val="ListParagraph"/>
        <w:numPr>
          <w:ilvl w:val="0"/>
          <w:numId w:val="13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Declaração da PwC: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o relatório afirma que a firma é independente em relação à Companhia e às controladas, segundo o Código de Ética e as normas do CFC para entidades de interesse público (F1, p. 197).</w:t>
      </w:r>
    </w:p>
    <w:p xmlns:wp14="http://schemas.microsoft.com/office/word/2010/wordml" w:rsidP="5E3A241D" wp14:paraId="4EA12502" wp14:textId="7EC5D461">
      <w:pPr>
        <w:pStyle w:val="ListParagraph"/>
        <w:numPr>
          <w:ilvl w:val="0"/>
          <w:numId w:val="13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Supervisão pelo Comitê de Auditoria Estatutário: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cabe ao CAE zelar pela atuação, independência e qualidade dos trabalhos do auditor independente. Em 2025, o CAE reuniu-se 9 vezes e teve reuniões individuais com a auditoria externa (F1, p. 203–204).</w:t>
      </w:r>
    </w:p>
    <w:p xmlns:wp14="http://schemas.microsoft.com/office/word/2010/wordml" w:rsidP="5E3A241D" wp14:paraId="6485BE80" wp14:textId="1F2406E6">
      <w:pPr>
        <w:pStyle w:val="ListParagraph"/>
        <w:numPr>
          <w:ilvl w:val="0"/>
          <w:numId w:val="13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Escopo dos serviços: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além da auditoria anual, a PwC realiza a revisão das informações trimestrais (ITRs) e apoia a avaliação dos controles internos exigida pela Lei Sarbanes-Oxley, pois a Companhia tem ADRs na NYSE (F1, p. 49 e 203).</w:t>
      </w:r>
    </w:p>
    <w:p xmlns:wp14="http://schemas.microsoft.com/office/word/2010/wordml" w:rsidP="5E3A241D" wp14:paraId="6471D5EC" wp14:textId="04E43CD8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980"/>
        <w:gridCol w:w="3750"/>
        <w:gridCol w:w="3360"/>
      </w:tblGrid>
      <w:tr w:rsidR="5E3A241D" w:rsidTr="5E3A241D" w14:paraId="661662EB">
        <w:trPr>
          <w:trHeight w:val="285"/>
        </w:trPr>
        <w:tc>
          <w:tcPr>
            <w:tcW w:w="198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7B7C46C" w14:textId="656F8D5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Ameaça à independência</w:t>
            </w:r>
          </w:p>
        </w:tc>
        <w:tc>
          <w:tcPr>
            <w:tcW w:w="375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602B920" w14:textId="6BAFE00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Situação que a geraria</w:t>
            </w:r>
          </w:p>
        </w:tc>
        <w:tc>
          <w:tcPr>
            <w:tcW w:w="336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514998B" w14:textId="2A31B35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Evidência pública</w:t>
            </w:r>
          </w:p>
        </w:tc>
      </w:tr>
      <w:tr w:rsidR="5E3A241D" w:rsidTr="5E3A241D" w14:paraId="4188B5D5">
        <w:trPr>
          <w:trHeight w:val="285"/>
        </w:trPr>
        <w:tc>
          <w:tcPr>
            <w:tcW w:w="198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0953C72" w14:textId="04ED1E3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Interesse próprio</w:t>
            </w:r>
          </w:p>
        </w:tc>
        <w:tc>
          <w:tcPr>
            <w:tcW w:w="375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4CF39F5" w14:textId="13022D8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Dependência de honorários ou serviços relevantes não de auditoria</w:t>
            </w:r>
          </w:p>
        </w:tc>
        <w:tc>
          <w:tcPr>
            <w:tcW w:w="336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A7EDF44" w14:textId="3E60854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Honorários 2025: auditoria R$ 19,2 mi; outros serviços de auditoria R$ 8,5 mi; consultoria tributária R$ 1,7 mi (5,7% do total de R$ 29,4 mi), pré-aprovada pelo Conselho com recomendação do CAE (F3 p. 372–373). Sem indício.</w:t>
            </w:r>
          </w:p>
        </w:tc>
      </w:tr>
      <w:tr w:rsidR="5E3A241D" w:rsidTr="5E3A241D" w14:paraId="0EF4CB53">
        <w:trPr>
          <w:trHeight w:val="285"/>
        </w:trPr>
        <w:tc>
          <w:tcPr>
            <w:tcW w:w="198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BF5108A" w14:textId="1E81E23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Autorrevisão</w:t>
            </w:r>
          </w:p>
        </w:tc>
        <w:tc>
          <w:tcPr>
            <w:tcW w:w="37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FF7E9FF" w14:textId="1E7D643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Auditor avaliar trabalho que ele mesmo executou</w:t>
            </w:r>
          </w:p>
        </w:tc>
        <w:tc>
          <w:tcPr>
            <w:tcW w:w="336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8865271" w14:textId="6704E2C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Além da auditoria, revisão de ITRs e SOX, a PwC presta consultoria tributária (F3 p. 372). Ponto de atenção: verificar se o serviço afeta valores das demonstrações.</w:t>
            </w:r>
          </w:p>
        </w:tc>
      </w:tr>
      <w:tr w:rsidR="5E3A241D" w:rsidTr="5E3A241D" w14:paraId="630A1ADC">
        <w:trPr>
          <w:trHeight w:val="285"/>
        </w:trPr>
        <w:tc>
          <w:tcPr>
            <w:tcW w:w="198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9925402" w14:textId="7ED5FE1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Familiaridade</w:t>
            </w:r>
          </w:p>
        </w:tc>
        <w:tc>
          <w:tcPr>
            <w:tcW w:w="375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1FDAC13" w14:textId="1690A12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Relacionamento longo com a entidade</w:t>
            </w:r>
          </w:p>
        </w:tc>
        <w:tc>
          <w:tcPr>
            <w:tcW w:w="336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A8F0EB2" w14:textId="4BAA563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PwC presta serviços desde 01/01/2017; 2025 é o 9º exercício (F3 p. 372). Com CAE estatutário, a CVM admite até 10 anos sem rodízio da firma (Resolução CVM 23/2021) – a confirmar.</w:t>
            </w:r>
          </w:p>
        </w:tc>
      </w:tr>
      <w:tr w:rsidR="5E3A241D" w:rsidTr="5E3A241D" w14:paraId="690B1031">
        <w:trPr>
          <w:trHeight w:val="285"/>
        </w:trPr>
        <w:tc>
          <w:tcPr>
            <w:tcW w:w="198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30B2AA8" w14:textId="1B5AC67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Intimidação e defesa de interesse</w:t>
            </w:r>
          </w:p>
        </w:tc>
        <w:tc>
          <w:tcPr>
            <w:tcW w:w="375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7193FAD" w14:textId="605D2E6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Pressão da administração ou defesa da posição do cliente</w:t>
            </w:r>
          </w:p>
        </w:tc>
        <w:tc>
          <w:tcPr>
            <w:tcW w:w="336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AD61774" w14:textId="0AAD595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CAE informa não haver divergências relevantes com os auditores (F1, p. 202)</w:t>
            </w:r>
          </w:p>
        </w:tc>
      </w:tr>
    </w:tbl>
    <w:p xmlns:wp14="http://schemas.microsoft.com/office/word/2010/wordml" w:rsidP="5E3A241D" wp14:paraId="3BDC0814" wp14:textId="389188B7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5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CETICISMO PROFISSIONAL</w:t>
      </w:r>
    </w:p>
    <w:p xmlns:wp14="http://schemas.microsoft.com/office/word/2010/wordml" w:rsidP="5E3A241D" wp14:paraId="5EFC6FB8" wp14:textId="6FD852B3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Ceticismo profissional é a postura de mente questionadora, alerta a condições que indiquem possível distorção, e de avaliação crítica das evidências (item 13(l)). O auditor deve planejar e executar a auditoria reconhecendo que podem existir circunstâncias que causem distorção relevante (item 15). Na Suzano, as situações abaixo exigem atenção especial: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700"/>
        <w:gridCol w:w="2895"/>
        <w:gridCol w:w="2730"/>
        <w:gridCol w:w="1275"/>
      </w:tblGrid>
      <w:tr w:rsidR="5E3A241D" w:rsidTr="5E3A241D" w14:paraId="2F6F0412">
        <w:trPr>
          <w:trHeight w:val="285"/>
        </w:trPr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D384FC4" w14:textId="736522C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Situação na Suzano (2025)</w:t>
            </w:r>
          </w:p>
        </w:tc>
        <w:tc>
          <w:tcPr>
            <w:tcW w:w="28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6282AAD" w14:textId="14C0E77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Por que exige ceticismo</w:t>
            </w:r>
          </w:p>
        </w:tc>
        <w:tc>
          <w:tcPr>
            <w:tcW w:w="273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82D826B" w14:textId="6D806EF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Postura adotada</w:t>
            </w:r>
          </w:p>
        </w:tc>
        <w:tc>
          <w:tcPr>
            <w:tcW w:w="127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E018F96" w14:textId="619C2FB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PT</w:t>
            </w:r>
          </w:p>
        </w:tc>
      </w:tr>
      <w:tr w:rsidR="5E3A241D" w:rsidTr="5E3A241D" w14:paraId="653EE9EC">
        <w:trPr>
          <w:trHeight w:val="285"/>
        </w:trPr>
        <w:tc>
          <w:tcPr>
            <w:tcW w:w="27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DF37BC4" w14:textId="16D7C49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Ativos biológicos a valor justo: R$ 26.097.164 mil (consolidado)</w:t>
            </w:r>
          </w:p>
        </w:tc>
        <w:tc>
          <w:tcPr>
            <w:tcW w:w="28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6DD1F36" w14:textId="2112421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 xml:space="preserve">Valor depende de premissas da administração (crescimento das florestas e preço da madeira); </w:t>
            </w:r>
          </w:p>
        </w:tc>
        <w:tc>
          <w:tcPr>
            <w:tcW w:w="273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E8881A2" w14:textId="5EB32FB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Comparar premissas com fontes externas e com anos anteriores</w:t>
            </w:r>
          </w:p>
        </w:tc>
        <w:tc>
          <w:tcPr>
            <w:tcW w:w="127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DB5054D" w14:textId="6FC80E7D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540</w:t>
            </w:r>
          </w:p>
        </w:tc>
      </w:tr>
      <w:tr w:rsidR="5E3A241D" w:rsidTr="5E3A241D" w14:paraId="1E6CBFD9">
        <w:trPr>
          <w:trHeight w:val="285"/>
        </w:trPr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69D8E9E" w14:textId="43F81F2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Contingências possíveis e incertezas tributárias: R$ 10.417.734 mil (consolidado)</w:t>
            </w:r>
          </w:p>
        </w:tc>
        <w:tc>
          <w:tcPr>
            <w:tcW w:w="28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2631864" w14:textId="078A808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 xml:space="preserve">Classificação de perda (provável x possível) é subjetiva; </w:t>
            </w:r>
          </w:p>
        </w:tc>
        <w:tc>
          <w:tcPr>
            <w:tcW w:w="27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E68EE17" w14:textId="643CA29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Avaliar a coerência das classificações e das divulgações</w:t>
            </w:r>
          </w:p>
        </w:tc>
        <w:tc>
          <w:tcPr>
            <w:tcW w:w="12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A858F90" w14:textId="1D16BD72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501 e 540</w:t>
            </w:r>
          </w:p>
        </w:tc>
      </w:tr>
      <w:tr w:rsidR="5E3A241D" w:rsidTr="5E3A241D" w14:paraId="438FC2F6">
        <w:trPr>
          <w:trHeight w:val="285"/>
        </w:trPr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86B8761" w14:textId="20C0D58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Empréstimos e financiamentos: R$ 94.801.257 mil (circulante + não circulante)</w:t>
            </w:r>
          </w:p>
        </w:tc>
        <w:tc>
          <w:tcPr>
            <w:tcW w:w="28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29B4EED" w14:textId="34C5902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Endividamento elevado e cláusulas contratuais</w:t>
            </w:r>
          </w:p>
        </w:tc>
        <w:tc>
          <w:tcPr>
            <w:tcW w:w="27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902922C" w14:textId="1417F20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Analisar liquidez, vencimentos e cláusulas restritivas</w:t>
            </w:r>
          </w:p>
        </w:tc>
        <w:tc>
          <w:tcPr>
            <w:tcW w:w="12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09CF9DC" w14:textId="26D32A41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570</w:t>
            </w:r>
          </w:p>
        </w:tc>
      </w:tr>
      <w:tr w:rsidR="5E3A241D" w:rsidTr="5E3A241D" w14:paraId="2FA27E38">
        <w:trPr>
          <w:trHeight w:val="285"/>
        </w:trPr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94FA3C0" w14:textId="5468FC8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Acordo para adquirir 51% de joint venture com a Kimberly-Clark, previsto para 2026</w:t>
            </w:r>
          </w:p>
        </w:tc>
        <w:tc>
          <w:tcPr>
            <w:tcW w:w="28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64A1D52" w14:textId="30EB42C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Compromisso relevante após o encerramento</w:t>
            </w:r>
          </w:p>
        </w:tc>
        <w:tc>
          <w:tcPr>
            <w:tcW w:w="27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72A3CB8" w14:textId="317FA50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Verificar divulgação e efeitos posteriores</w:t>
            </w:r>
          </w:p>
        </w:tc>
        <w:tc>
          <w:tcPr>
            <w:tcW w:w="127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8A2945B" w14:textId="27C307B0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560</w:t>
            </w:r>
          </w:p>
        </w:tc>
      </w:tr>
      <w:tr w:rsidR="5E3A241D" w:rsidTr="5E3A241D" w14:paraId="510FD5F1">
        <w:trPr>
          <w:trHeight w:val="285"/>
        </w:trPr>
        <w:tc>
          <w:tcPr>
            <w:tcW w:w="27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9FD5102" w14:textId="5968163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Relatório da Administração e release de resultados</w:t>
            </w:r>
          </w:p>
        </w:tc>
        <w:tc>
          <w:tcPr>
            <w:tcW w:w="28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39ED172" w14:textId="00AB4DD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Textos elaborados pela própria Companhia, não auditados</w:t>
            </w:r>
          </w:p>
        </w:tc>
        <w:tc>
          <w:tcPr>
            <w:tcW w:w="273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C32480F" w14:textId="4FA9BFC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Usar como informação da administração e confrontar com as demonstrações</w:t>
            </w:r>
          </w:p>
        </w:tc>
        <w:tc>
          <w:tcPr>
            <w:tcW w:w="127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686EF3E" w14:textId="3CD231C9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500</w:t>
            </w:r>
          </w:p>
        </w:tc>
      </w:tr>
    </w:tbl>
    <w:p xmlns:wp14="http://schemas.microsoft.com/office/word/2010/wordml" w:rsidP="5E3A241D" wp14:paraId="7F96CD9D" wp14:textId="62756510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000000" w:themeColor="text1" w:themeTint="FF" w:themeShade="FF"/>
          <w:sz w:val="19"/>
          <w:szCs w:val="19"/>
        </w:rPr>
        <w:t>Valores: F1, p. 25–26 e 197–198. Dívida = R$ 3.004.905 mil (circulante) + R$ 91.796.352 mil (não circulante).</w:t>
      </w:r>
    </w:p>
    <w:p xmlns:wp14="http://schemas.microsoft.com/office/word/2010/wordml" w:rsidP="5E3A241D" wp14:paraId="4AE13054" wp14:textId="5AFEA728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6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JULGAMENTO PROFISSIONAL</w:t>
      </w:r>
    </w:p>
    <w:p xmlns:wp14="http://schemas.microsoft.com/office/word/2010/wordml" w:rsidP="5E3A241D" wp14:paraId="2401A8FC" wp14:textId="11F5E31B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Julgamento profissional é a aplicação de treinamento, conhecimento e experiência para tomar decisões informadas nas circunstâncias do trabalho (item 13(k)); deve ser exercido no planejamento e na execução (item 16) e documentado. As principais decisões deste dossiê que dependem de julgamento são: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4425"/>
        <w:gridCol w:w="2190"/>
      </w:tblGrid>
      <w:tr w:rsidR="5E3A241D" w:rsidTr="5E3A241D" w14:paraId="74573BE0">
        <w:trPr>
          <w:trHeight w:val="285"/>
        </w:trPr>
        <w:tc>
          <w:tcPr>
            <w:tcW w:w="29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3E09D1A" w14:textId="662D92B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Decisão</w:t>
            </w:r>
          </w:p>
        </w:tc>
        <w:tc>
          <w:tcPr>
            <w:tcW w:w="442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83BB0D2" w14:textId="6A0EA05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Critério de julgamento</w:t>
            </w:r>
          </w:p>
        </w:tc>
        <w:tc>
          <w:tcPr>
            <w:tcW w:w="219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CED05D7" w14:textId="02DDD5C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Onde é documentada</w:t>
            </w:r>
          </w:p>
        </w:tc>
      </w:tr>
      <w:tr w:rsidR="5E3A241D" w:rsidTr="5E3A241D" w14:paraId="33D48B65">
        <w:trPr>
          <w:trHeight w:val="285"/>
        </w:trPr>
        <w:tc>
          <w:tcPr>
            <w:tcW w:w="29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4CB1E81" w14:textId="7108833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Materialidade global e para execução</w:t>
            </w:r>
          </w:p>
        </w:tc>
        <w:tc>
          <w:tcPr>
            <w:tcW w:w="442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521D12D" w14:textId="58C7CCB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Escolha da base (ex.: ativo, receita, resultado) e do percentual</w:t>
            </w:r>
          </w:p>
        </w:tc>
        <w:tc>
          <w:tcPr>
            <w:tcW w:w="219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B7D9469" w14:textId="11B4278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PT 320</w:t>
            </w:r>
          </w:p>
        </w:tc>
      </w:tr>
      <w:tr w:rsidR="5E3A241D" w:rsidTr="5E3A241D" w14:paraId="373D7835">
        <w:trPr>
          <w:trHeight w:val="285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190187D" w14:textId="7F2FAB1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Riscos significativos por conta e afirmação</w:t>
            </w:r>
          </w:p>
        </w:tc>
        <w:tc>
          <w:tcPr>
            <w:tcW w:w="44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7CFC5AC" w14:textId="5CE69B1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Natureza, complexidade e subjetividade de cada área</w:t>
            </w:r>
          </w:p>
        </w:tc>
        <w:tc>
          <w:tcPr>
            <w:tcW w:w="21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0CB7F5A" w14:textId="43CD5F3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PT 315</w:t>
            </w:r>
          </w:p>
        </w:tc>
      </w:tr>
      <w:tr w:rsidR="5E3A241D" w:rsidTr="5E3A241D" w14:paraId="36F30600">
        <w:trPr>
          <w:trHeight w:val="285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22F32EE" w14:textId="1F60129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Conta da base simulada</w:t>
            </w:r>
          </w:p>
        </w:tc>
        <w:tc>
          <w:tcPr>
            <w:tcW w:w="44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A522D4F" w14:textId="655E268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Conta de maior materialidade do ativo: imobilizado, R$ 64.296.187 mil (38% do ativo consolidado)</w:t>
            </w:r>
          </w:p>
        </w:tc>
        <w:tc>
          <w:tcPr>
            <w:tcW w:w="21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B3C28D6" w14:textId="0563102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PT 530</w:t>
            </w:r>
          </w:p>
        </w:tc>
      </w:tr>
      <w:tr w:rsidR="5E3A241D" w:rsidTr="5E3A241D" w14:paraId="49F774AF">
        <w:trPr>
          <w:trHeight w:val="285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1230637" w14:textId="293A2AA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Método e tamanho das amostras</w:t>
            </w:r>
          </w:p>
        </w:tc>
        <w:tc>
          <w:tcPr>
            <w:tcW w:w="442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092921E" w14:textId="3EE6A67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Risco de detecção, distorção tolerável e esperada</w:t>
            </w:r>
          </w:p>
        </w:tc>
        <w:tc>
          <w:tcPr>
            <w:tcW w:w="219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CB5617A" w14:textId="062FB4D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PT 530</w:t>
            </w:r>
          </w:p>
        </w:tc>
      </w:tr>
      <w:tr w:rsidR="5E3A241D" w:rsidTr="5E3A241D" w14:paraId="1ACFB682">
        <w:trPr>
          <w:trHeight w:val="285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71E4694" w14:textId="7643EC1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Avaliação das distorções</w:t>
            </w:r>
          </w:p>
        </w:tc>
        <w:tc>
          <w:tcPr>
            <w:tcW w:w="442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1716F9F" w14:textId="06F83D0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Efeitos quantitativos e qualitativos</w:t>
            </w:r>
          </w:p>
        </w:tc>
        <w:tc>
          <w:tcPr>
            <w:tcW w:w="219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861F10D" w14:textId="13C92C2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PT 450</w:t>
            </w:r>
          </w:p>
        </w:tc>
      </w:tr>
    </w:tbl>
    <w:p xmlns:wp14="http://schemas.microsoft.com/office/word/2010/wordml" w:rsidP="5E3A241D" wp14:paraId="5D71768B" wp14:textId="6B7ED648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7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RISCO DE AUDITORIA</w:t>
      </w:r>
    </w:p>
    <w:p xmlns:wp14="http://schemas.microsoft.com/office/word/2010/wordml" w:rsidP="5E3A241D" wp14:paraId="15899AAB" wp14:textId="17118BC5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Risco de auditoria é o risco de o auditor expressar opinião inadequada quando as demonstrações contêm distorção relevante. Ele depende do risco de distorção relevante – formado pelo risco inerente e pelo risco de controle – e do risco de detecção (itens 13(c), 13(e) e 13(n)):</w:t>
      </w:r>
    </w:p>
    <w:p xmlns:wp14="http://schemas.microsoft.com/office/word/2010/wordml" w:rsidP="5E3A241D" wp14:paraId="67AB6645" wp14:textId="06803B73">
      <w:pPr>
        <w:bidi w:val="0"/>
        <w:spacing w:before="80" w:after="120"/>
        <w:jc w:val="center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>Risco de auditoria (RA) = Risco inerente (RI) × Risco de controle (RC) × Risco de detecção (RD)</w:t>
      </w:r>
    </w:p>
    <w:p xmlns:wp14="http://schemas.microsoft.com/office/word/2010/wordml" w:rsidP="5E3A241D" wp14:paraId="2884C705" wp14:textId="21ECE0FE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O auditor não controla o RI nem o RC; ele avalia esses riscos e ajusta o RD por meio da natureza, época e extensão dos procedimentos. Quanto maior o risco de distorção, menor deve ser o RD e, portanto, maior a extensão dos testes. Para este dossiê, o preparador fixa os seguintes parâmetros didáticos: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600"/>
        <w:gridCol w:w="2595"/>
        <w:gridCol w:w="3435"/>
      </w:tblGrid>
      <w:tr w:rsidR="5E3A241D" w:rsidTr="5E3A241D" w14:paraId="1D713CE4">
        <w:trPr>
          <w:trHeight w:val="285"/>
        </w:trPr>
        <w:tc>
          <w:tcPr>
            <w:tcW w:w="36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63E8A94" w14:textId="59FFF15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Risco de distorção relevante (RI × RC)</w:t>
            </w:r>
          </w:p>
        </w:tc>
        <w:tc>
          <w:tcPr>
            <w:tcW w:w="25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0E20973" w14:textId="035A244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RD necessário para RA = 5%</w:t>
            </w:r>
          </w:p>
        </w:tc>
        <w:tc>
          <w:tcPr>
            <w:tcW w:w="34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FBD077A" w14:textId="18DA49F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Efeito nos testes substantivos</w:t>
            </w:r>
          </w:p>
        </w:tc>
      </w:tr>
      <w:tr w:rsidR="5E3A241D" w:rsidTr="5E3A241D" w14:paraId="7EA5CC13">
        <w:trPr>
          <w:trHeight w:val="285"/>
        </w:trPr>
        <w:tc>
          <w:tcPr>
            <w:tcW w:w="36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F66AEFF" w14:textId="23805EC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Alto (100%)</w:t>
            </w:r>
          </w:p>
        </w:tc>
        <w:tc>
          <w:tcPr>
            <w:tcW w:w="259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734E98A" w14:textId="57D2ACEF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5%</w:t>
            </w:r>
          </w:p>
        </w:tc>
        <w:tc>
          <w:tcPr>
            <w:tcW w:w="343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06870E7" w14:textId="4554396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Testes mais extensos; amostras maiores</w:t>
            </w:r>
          </w:p>
        </w:tc>
      </w:tr>
      <w:tr w:rsidR="5E3A241D" w:rsidTr="5E3A241D" w14:paraId="7364BF02">
        <w:trPr>
          <w:trHeight w:val="285"/>
        </w:trPr>
        <w:tc>
          <w:tcPr>
            <w:tcW w:w="36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9463DDF" w14:textId="598B929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Moderado (50%)</w:t>
            </w:r>
          </w:p>
        </w:tc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24FFC66" w14:textId="12ED57DE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10%</w:t>
            </w:r>
          </w:p>
        </w:tc>
        <w:tc>
          <w:tcPr>
            <w:tcW w:w="343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08DAF79" w14:textId="6671A1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Extensão intermediária</w:t>
            </w:r>
          </w:p>
        </w:tc>
      </w:tr>
      <w:tr w:rsidR="5E3A241D" w:rsidTr="5E3A241D" w14:paraId="727FDD4C">
        <w:trPr>
          <w:trHeight w:val="285"/>
        </w:trPr>
        <w:tc>
          <w:tcPr>
            <w:tcW w:w="36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571522E" w14:textId="3BADD65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Baixo (33%)</w:t>
            </w:r>
          </w:p>
        </w:tc>
        <w:tc>
          <w:tcPr>
            <w:tcW w:w="259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7FD79D3" w14:textId="628697DA">
            <w:pPr>
              <w:bidi w:val="0"/>
              <w:spacing w:after="0" w:line="252" w:lineRule="auto"/>
              <w:jc w:val="center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15%</w:t>
            </w:r>
          </w:p>
        </w:tc>
        <w:tc>
          <w:tcPr>
            <w:tcW w:w="343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6BAE9B2" w14:textId="3531C57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Testes menos extensos</w:t>
            </w:r>
          </w:p>
        </w:tc>
      </w:tr>
    </w:tbl>
    <w:p xmlns:wp14="http://schemas.microsoft.com/office/word/2010/wordml" w:rsidP="5E3A241D" wp14:paraId="78DDAE87" wp14:textId="25C66B76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1"/>
          <w:iCs w:val="1"/>
          <w:caps w:val="0"/>
          <w:smallCaps w:val="0"/>
          <w:color w:val="000000" w:themeColor="text1" w:themeTint="FF" w:themeShade="FF"/>
          <w:sz w:val="19"/>
          <w:szCs w:val="19"/>
        </w:rPr>
        <w:t>RD = RA ÷ (RI × RC). Exemplo: 5% ÷ 50% = 10%. O nível de cada conta é definido no PT 315 e aplicado no PT 330; o RD da conta imobilizado define o fator de confiabilidade da amostragem no PT 530.</w:t>
      </w:r>
    </w:p>
    <w:p xmlns:wp14="http://schemas.microsoft.com/office/word/2010/wordml" w:rsidP="5E3A241D" wp14:paraId="267DA343" wp14:textId="7598009A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8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CONDIÇÕES PARA OBTER SEGURANÇA RAZOÁVEL</w:t>
      </w:r>
    </w:p>
    <w:p xmlns:wp14="http://schemas.microsoft.com/office/word/2010/wordml" w:rsidP="5E3A241D" wp14:paraId="60492AE6" wp14:textId="51F1FF41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Para obter segurança razoável, o auditor deve obter evidência apropriada e suficiente para reduzir o risco de auditoria a um nível baixo aceitável (item 17). Segurança razoável não é absoluta, por causa de limitações inerentes: a natureza das informações (muitas dependem de estimativas), a natureza dos procedimentos (a evidência é persuasiva, não conclusiva) e a necessidade de concluir em prazo e custo razoáveis (A47–A52).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3300"/>
        <w:gridCol w:w="3330"/>
      </w:tblGrid>
      <w:tr w:rsidR="5E3A241D" w:rsidTr="5E3A241D" w14:paraId="4AFD17F4">
        <w:trPr>
          <w:trHeight w:val="285"/>
        </w:trPr>
        <w:tc>
          <w:tcPr>
            <w:tcW w:w="298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114DDB5" w14:textId="516CC56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Condição</w:t>
            </w:r>
          </w:p>
        </w:tc>
        <w:tc>
          <w:tcPr>
            <w:tcW w:w="33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9F2B7E4" w14:textId="79A5D27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Auditor real (PwC)</w:t>
            </w:r>
          </w:p>
        </w:tc>
        <w:tc>
          <w:tcPr>
            <w:tcW w:w="333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69C17E0" w14:textId="7DEDBC0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Este dossiê</w:t>
            </w:r>
          </w:p>
        </w:tc>
      </w:tr>
      <w:tr w:rsidR="5E3A241D" w:rsidTr="5E3A241D" w14:paraId="18A53A9E">
        <w:trPr>
          <w:trHeight w:val="285"/>
        </w:trPr>
        <w:tc>
          <w:tcPr>
            <w:tcW w:w="298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0BE5E41" w14:textId="08F8048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Acesso a registros, documentos e pessoas</w:t>
            </w:r>
          </w:p>
        </w:tc>
        <w:tc>
          <w:tcPr>
            <w:tcW w:w="330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0F58909" w14:textId="0F34383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Sim, por premissa da auditoria (item 13(j))</w:t>
            </w:r>
          </w:p>
        </w:tc>
        <w:tc>
          <w:tcPr>
            <w:tcW w:w="333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F40C405" w14:textId="651C172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Não; apenas informações públicas</w:t>
            </w:r>
          </w:p>
        </w:tc>
      </w:tr>
      <w:tr w:rsidR="5E3A241D" w:rsidTr="5E3A241D" w14:paraId="4F803249">
        <w:trPr>
          <w:trHeight w:val="285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A0B5116" w14:textId="258D0F3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Evidência apropriada e suficiente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36318A0" w14:textId="6AD87D2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Obtida, segundo o relatório (F1, p. 197)</w:t>
            </w:r>
          </w:p>
        </w:tc>
        <w:tc>
          <w:tcPr>
            <w:tcW w:w="33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DD7567B" w14:textId="2560E05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Limitada a fontes públicas e dados simulados</w:t>
            </w:r>
          </w:p>
        </w:tc>
      </w:tr>
      <w:tr w:rsidR="5E3A241D" w:rsidTr="5E3A241D" w14:paraId="481CCA1D">
        <w:trPr>
          <w:trHeight w:val="285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4208FBC" w14:textId="7B84BF9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Risco de auditoria reduzido a nível aceitável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0C5D8F6" w14:textId="4086A57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Sim</w:t>
            </w:r>
          </w:p>
        </w:tc>
        <w:tc>
          <w:tcPr>
            <w:tcW w:w="333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546BDB6" w14:textId="5D5290A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Não demonstrável</w:t>
            </w:r>
          </w:p>
        </w:tc>
      </w:tr>
      <w:tr w:rsidR="5E3A241D" w:rsidTr="5E3A241D" w14:paraId="53EFFF9F">
        <w:trPr>
          <w:trHeight w:val="285"/>
        </w:trPr>
        <w:tc>
          <w:tcPr>
            <w:tcW w:w="298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15D9152" w14:textId="5C15657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Opinião emitida</w:t>
            </w:r>
          </w:p>
        </w:tc>
        <w:tc>
          <w:tcPr>
            <w:tcW w:w="330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5E5E3CF" w14:textId="5D75F4C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Sem ressalva, em 10/02/2026</w:t>
            </w:r>
          </w:p>
        </w:tc>
        <w:tc>
          <w:tcPr>
            <w:tcW w:w="333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C43BBBC" w14:textId="36AE79E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Nenhuma; apenas conclusões didáticas</w:t>
            </w:r>
          </w:p>
        </w:tc>
      </w:tr>
    </w:tbl>
    <w:p xmlns:wp14="http://schemas.microsoft.com/office/word/2010/wordml" w:rsidP="5E3A241D" wp14:paraId="2CCD1EBA" wp14:textId="46751F61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9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PROCEDIMENTOS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540"/>
        <w:gridCol w:w="4545"/>
        <w:gridCol w:w="2340"/>
        <w:gridCol w:w="2160"/>
      </w:tblGrid>
      <w:tr w:rsidR="5E3A241D" w:rsidTr="5E3A241D" w14:paraId="78D7BF36">
        <w:trPr>
          <w:trHeight w:val="285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9B8D9E6" w14:textId="5FC9F3D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Nº</w:t>
            </w:r>
          </w:p>
        </w:tc>
        <w:tc>
          <w:tcPr>
            <w:tcW w:w="454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A8B98BD" w14:textId="54943701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Procedimento</w:t>
            </w:r>
          </w:p>
        </w:tc>
        <w:tc>
          <w:tcPr>
            <w:tcW w:w="234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7F74FA4" w14:textId="04088CD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Classificação</w:t>
            </w:r>
          </w:p>
        </w:tc>
        <w:tc>
          <w:tcPr>
            <w:tcW w:w="216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0F75EDF" w14:textId="07DACAB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Referência</w:t>
            </w:r>
          </w:p>
        </w:tc>
      </w:tr>
      <w:tr w:rsidR="5E3A241D" w:rsidTr="5E3A241D" w14:paraId="00F93F4B">
        <w:trPr>
          <w:trHeight w:val="285"/>
        </w:trPr>
        <w:tc>
          <w:tcPr>
            <w:tcW w:w="54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C26D8F1" w14:textId="5E98894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P1</w:t>
            </w:r>
          </w:p>
        </w:tc>
        <w:tc>
          <w:tcPr>
            <w:tcW w:w="4545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1796949" w14:textId="69F5BE2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Leitura da declaração de independência no relatório do auditor</w:t>
            </w:r>
          </w:p>
        </w:tc>
        <w:tc>
          <w:tcPr>
            <w:tcW w:w="234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8D51F3B" w14:textId="3A4C585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160" w:type="dxa"/>
            <w:tcBorders>
              <w:top w:val="single" w:color="262626" w:themeColor="text1" w:themeTint="D9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9C9A636" w14:textId="752678D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F1 p. 197</w:t>
            </w:r>
          </w:p>
        </w:tc>
      </w:tr>
      <w:tr w:rsidR="5E3A241D" w:rsidTr="5E3A241D" w14:paraId="6CC23593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373E6F8" w14:textId="6C18823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P2</w:t>
            </w:r>
          </w:p>
        </w:tc>
        <w:tc>
          <w:tcPr>
            <w:tcW w:w="454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2372CFA" w14:textId="296C0EE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Leitura dos relatórios do Comitê de Auditoria e do Conselho Fiscal para identificar supervisão do auditor e divergências</w:t>
            </w:r>
          </w:p>
        </w:tc>
        <w:tc>
          <w:tcPr>
            <w:tcW w:w="23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7DD3A75" w14:textId="41800F8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16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635EE12" w14:textId="010346A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F1 p. 201–204</w:t>
            </w:r>
          </w:p>
        </w:tc>
      </w:tr>
      <w:tr w:rsidR="5E3A241D" w:rsidTr="5E3A241D" w14:paraId="510CF0B2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5AEEFB03" w14:textId="556A3C03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P3</w:t>
            </w:r>
          </w:p>
        </w:tc>
        <w:tc>
          <w:tcPr>
            <w:tcW w:w="454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455838C" w14:textId="0789EC3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Identificação dos serviços prestados pela PwC (auditoria, revisão de ITRs, SOX)</w:t>
            </w:r>
          </w:p>
        </w:tc>
        <w:tc>
          <w:tcPr>
            <w:tcW w:w="23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F0EE492" w14:textId="49B1A22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16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9961DF8" w14:textId="60DF7D9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F1 p. 49 e 203</w:t>
            </w:r>
          </w:p>
        </w:tc>
      </w:tr>
      <w:tr w:rsidR="5E3A241D" w:rsidTr="5E3A241D" w14:paraId="3C7A35DA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413C81D" w14:textId="409E7AB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P4</w:t>
            </w:r>
          </w:p>
        </w:tc>
        <w:tc>
          <w:tcPr>
            <w:tcW w:w="454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5491AAD" w14:textId="3696DB2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Identificação das áreas que exigem ceticismo (PAAs, endividamento, eventos posteriores)</w:t>
            </w:r>
          </w:p>
        </w:tc>
        <w:tc>
          <w:tcPr>
            <w:tcW w:w="23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972E2BC" w14:textId="45306D1D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16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A7FA4DB" w14:textId="5CC3B04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Seção 5</w:t>
            </w:r>
          </w:p>
        </w:tc>
      </w:tr>
      <w:tr w:rsidR="5E3A241D" w:rsidTr="5E3A241D" w14:paraId="0491BACF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5D3B919" w14:textId="3472CB0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P5</w:t>
            </w:r>
          </w:p>
        </w:tc>
        <w:tc>
          <w:tcPr>
            <w:tcW w:w="454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2EFACB6" w14:textId="72DA9330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Definição dos parâmetros de risco de auditoria</w:t>
            </w:r>
          </w:p>
        </w:tc>
        <w:tc>
          <w:tcPr>
            <w:tcW w:w="23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0A04A91" w14:textId="4368804C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Realizado – parâmetro didático do preparador</w:t>
            </w:r>
          </w:p>
        </w:tc>
        <w:tc>
          <w:tcPr>
            <w:tcW w:w="216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1449F68" w14:textId="6B277C6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Seção 7</w:t>
            </w:r>
          </w:p>
        </w:tc>
      </w:tr>
      <w:tr w:rsidR="5E3A241D" w:rsidTr="5E3A241D" w14:paraId="64FB19EE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24C2CC5" w14:textId="005B405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P6</w:t>
            </w:r>
          </w:p>
        </w:tc>
        <w:tc>
          <w:tcPr>
            <w:tcW w:w="454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E58938C" w14:textId="6E03EB5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Verificação de honorários e serviços não de auditoria da PwC</w:t>
            </w:r>
          </w:p>
        </w:tc>
        <w:tc>
          <w:tcPr>
            <w:tcW w:w="23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092AEFB" w14:textId="61ABADC4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Realizado com evidência pública</w:t>
            </w:r>
          </w:p>
        </w:tc>
        <w:tc>
          <w:tcPr>
            <w:tcW w:w="216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FBE6D4A" w14:textId="20A17BD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F3 p. 372–373</w:t>
            </w:r>
          </w:p>
        </w:tc>
      </w:tr>
      <w:tr w:rsidR="5E3A241D" w:rsidTr="5E3A241D" w14:paraId="3B4A9D4B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5C60678" w14:textId="5C24ED15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P7</w:t>
            </w:r>
          </w:p>
        </w:tc>
        <w:tc>
          <w:tcPr>
            <w:tcW w:w="4545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35BC1001" w14:textId="116BC8FA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Verificação do tempo de permanência da PwC e das regras de rodízio</w:t>
            </w:r>
          </w:p>
        </w:tc>
        <w:tc>
          <w:tcPr>
            <w:tcW w:w="234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E59EB70" w14:textId="7B14CB12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Realizado com evidência pública (rodízio do sócio planejado)</w:t>
            </w:r>
          </w:p>
        </w:tc>
        <w:tc>
          <w:tcPr>
            <w:tcW w:w="2160" w:type="dxa"/>
            <w:tcBorders>
              <w:top w:val="single" w:color="BFBFBF" w:themeColor="background1" w:themeShade="BF" w:sz="6"/>
              <w:left w:val="nil"/>
              <w:bottom w:val="single" w:color="BFBFBF" w:themeColor="background1" w:themeShade="BF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E13C2E9" w14:textId="367E0CE8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F3 p. 372; → PT 220</w:t>
            </w:r>
          </w:p>
        </w:tc>
      </w:tr>
      <w:tr w:rsidR="5E3A241D" w:rsidTr="5E3A241D" w14:paraId="4D757949">
        <w:trPr>
          <w:trHeight w:val="285"/>
        </w:trPr>
        <w:tc>
          <w:tcPr>
            <w:tcW w:w="54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46236AB" w14:textId="629D8C77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P8</w:t>
            </w:r>
          </w:p>
        </w:tc>
        <w:tc>
          <w:tcPr>
            <w:tcW w:w="4545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15046BDE" w14:textId="0BBFBB9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Obtenção das confirmações de independência da equipe de auditoria</w:t>
            </w:r>
          </w:p>
        </w:tc>
        <w:tc>
          <w:tcPr>
            <w:tcW w:w="234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7CE82EBF" w14:textId="7C73C8BE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Planejado por falta de acesso</w:t>
            </w:r>
          </w:p>
        </w:tc>
        <w:tc>
          <w:tcPr>
            <w:tcW w:w="2160" w:type="dxa"/>
            <w:tcBorders>
              <w:top w:val="single" w:color="BFBFBF" w:themeColor="background1" w:themeShade="BF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EBCFF05" w14:textId="3E9B0AD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→ PT 220</w:t>
            </w:r>
          </w:p>
        </w:tc>
      </w:tr>
    </w:tbl>
    <w:p xmlns:wp14="http://schemas.microsoft.com/office/word/2010/wordml" w:rsidP="5E3A241D" wp14:paraId="641B5421" wp14:textId="5F752901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10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EVIDÊNCIAS E REFERÊNCIAS CRUZADAS</w:t>
      </w:r>
    </w:p>
    <w:p xmlns:wp14="http://schemas.microsoft.com/office/word/2010/wordml" w:rsidP="5E3A241D" wp14:paraId="2A8D7B2E" wp14:textId="46DCDD52">
      <w:pPr>
        <w:pStyle w:val="ListParagraph"/>
        <w:numPr>
          <w:ilvl w:val="0"/>
          <w:numId w:val="13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Evidências: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relatório do auditor, pareceres do Conselho Fiscal e do Comitê de Auditoria, Relatório da Administração e demonstrações (F1); texto da norma (F2).</w:t>
      </w:r>
    </w:p>
    <w:p xmlns:wp14="http://schemas.microsoft.com/office/word/2010/wordml" w:rsidP="5E3A241D" wp14:paraId="05E59619" wp14:textId="68158239">
      <w:pPr>
        <w:pStyle w:val="ListParagraph"/>
        <w:numPr>
          <w:ilvl w:val="0"/>
          <w:numId w:val="13"/>
        </w:numPr>
        <w:bidi w:val="0"/>
        <w:spacing w:after="6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Referências cruzadas: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PT EC (caracterização do trabalho); PT 220 (qualidade e independência da equipe); PT 240 (fraude); PT 260 (comunicação com a governança); PT 315, 320, 330 e 530 (risco, materialidade e amostragem); PT 540 e 501 (estimativas e litígios); PT 560 e 570 (eventos subsequentes e continuidade).</w:t>
      </w:r>
    </w:p>
    <w:p xmlns:wp14="http://schemas.microsoft.com/office/word/2010/wordml" w:rsidP="5E3A241D" wp14:paraId="46859196" wp14:textId="3C88EAB5">
      <w:pPr>
        <w:keepNext w:val="1"/>
        <w:pBdr>
          <w:bottom w:val="single" w:color="BFBFBF" w:sz="4" w:space="3"/>
        </w:pBdr>
        <w:bidi w:val="0"/>
        <w:spacing w:before="280" w:after="120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11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RESULTADOS, CONCLUSÃO E LIMITAÇÕES</w:t>
      </w:r>
    </w:p>
    <w:p xmlns:wp14="http://schemas.microsoft.com/office/word/2010/wordml" w:rsidP="5E3A241D" wp14:paraId="184D8FEE" wp14:textId="3C6BDAF9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Resultados.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As informações públicas não indicam ameaças à independência da PwC: há declaração expressa de independência, supervisão ativa do Comitê de Auditoria e ausência de divergências relevantes e serviços não de auditoria pequenos (5,7% dos honorários) e pré-aprovados. Pontos de atenção: consultoria tributária (autorrevisão) e 9º ano consecutivo da PwC (rodízio). Foram identificadas cinco áreas que exigem ceticismo e definidos os parâmetros de risco usados no restante do dossiê.</w:t>
      </w:r>
    </w:p>
    <w:p xmlns:wp14="http://schemas.microsoft.com/office/word/2010/wordml" w:rsidP="5E3A241D" wp14:paraId="2FE9D09B" wp14:textId="2C808DD9">
      <w:pPr>
        <w:bidi w:val="0"/>
        <w:spacing w:after="100" w:line="276" w:lineRule="auto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Exceções.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Nenhuma.</w:t>
      </w:r>
    </w:p>
    <w:p xmlns:wp14="http://schemas.microsoft.com/office/word/2010/wordml" w:rsidP="5E3A241D" wp14:paraId="7510C16A" wp14:textId="19209ABB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Conclusão.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Os objetivos gerais da NBC TA 200 estão refletidos no planejamento deste dossiê. A segurança razoável, porém, só é alcançável pelo auditor real; este trabalho não a obtém e não emite opinião.</w:t>
      </w:r>
    </w:p>
    <w:p xmlns:wp14="http://schemas.microsoft.com/office/word/2010/wordml" w:rsidP="5E3A241D" wp14:paraId="3C585A96" wp14:textId="73EC3F62">
      <w:pPr>
        <w:bidi w:val="0"/>
        <w:spacing w:after="100" w:line="276" w:lineRule="auto"/>
        <w:jc w:val="both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 xml:space="preserve">Limitações. </w:t>
      </w:r>
      <w:r w:rsidRPr="5E3A241D" w:rsidR="56FDECF4"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  <w:t>A natureza da consultoria tributária e o tempo do sócio responsável não foram verificados. Não há acesso às confirmações de independência nem aos papéis de trabalho do auditor.</w:t>
      </w:r>
    </w:p>
    <w:p xmlns:wp14="http://schemas.microsoft.com/office/word/2010/wordml" w:rsidP="5E3A241D" wp14:paraId="0460D859" wp14:textId="234CA113">
      <w:pPr>
        <w:keepNext w:val="1"/>
        <w:pBdr>
          <w:bottom w:val="single" w:color="BFBFBF" w:sz="4" w:space="3"/>
        </w:pBdr>
        <w:bidi w:val="0"/>
        <w:spacing w:before="280" w:after="12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1F3864"/>
          <w:sz w:val="20"/>
          <w:szCs w:val="20"/>
        </w:rPr>
      </w:pP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000000" w:themeColor="text1" w:themeTint="FF" w:themeShade="FF"/>
          <w:sz w:val="20"/>
          <w:szCs w:val="20"/>
        </w:rPr>
        <w:t xml:space="preserve">12   </w:t>
      </w:r>
      <w:r w:rsidRPr="5E3A241D" w:rsidR="56FDECF4">
        <w:rPr>
          <w:rFonts w:ascii="Arial" w:hAnsi="Arial" w:eastAsia="Arial" w:cs="Arial"/>
          <w:b w:val="1"/>
          <w:bCs w:val="1"/>
          <w:i w:val="0"/>
          <w:iCs w:val="0"/>
          <w:caps w:val="0"/>
          <w:smallCaps w:val="0"/>
          <w:color w:val="1F3864"/>
          <w:sz w:val="20"/>
          <w:szCs w:val="20"/>
        </w:rPr>
        <w:t>PREPARAÇÃO E REVISÃO</w:t>
      </w:r>
    </w:p>
    <w:tbl>
      <w:tblPr>
        <w:tblStyle w:val="TableNormal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3195"/>
        <w:gridCol w:w="1800"/>
        <w:gridCol w:w="2835"/>
        <w:gridCol w:w="1800"/>
      </w:tblGrid>
      <w:tr w:rsidR="5E3A241D" w:rsidTr="5E3A241D" w14:paraId="2319B625">
        <w:trPr>
          <w:trHeight w:val="285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96B8E29" w14:textId="07296DA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Preparado por (matrícula)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DE5C013" w14:textId="15160279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Data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449495E" w14:textId="134A434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Revisado por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22AC79A" w14:textId="59A8ECFF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6"/>
                <w:szCs w:val="16"/>
              </w:rPr>
            </w:pPr>
            <w:r w:rsidRPr="5E3A241D" w:rsidR="5E3A241D">
              <w:rPr>
                <w:rFonts w:ascii="Arial" w:hAnsi="Arial" w:eastAsia="Arial" w:cs="Arial"/>
                <w:b w:val="1"/>
                <w:bCs w:val="1"/>
                <w:i w:val="0"/>
                <w:iCs w:val="0"/>
                <w:color w:val="000000" w:themeColor="text1" w:themeTint="FF" w:themeShade="FF"/>
                <w:sz w:val="16"/>
                <w:szCs w:val="16"/>
              </w:rPr>
              <w:t>Data da revisão</w:t>
            </w:r>
          </w:p>
        </w:tc>
      </w:tr>
      <w:tr w:rsidR="5E3A241D" w:rsidTr="5E3A241D" w14:paraId="4841C2F2">
        <w:trPr>
          <w:trHeight w:val="285"/>
        </w:trPr>
        <w:tc>
          <w:tcPr>
            <w:tcW w:w="319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2C00F5E4" w14:textId="4525B90D">
            <w:pPr>
              <w:bidi w:val="0"/>
              <w:spacing w:before="0" w:beforeAutospacing="off" w:after="0" w:afterAutospacing="off" w:line="252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241003769</w:t>
            </w: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48ED39BA" w14:textId="7F43B056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</w:pPr>
            <w:r w:rsidRPr="5E3A241D" w:rsidR="5E3A241D"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7"/>
                <w:szCs w:val="17"/>
              </w:rPr>
              <w:t>19/10/2026</w:t>
            </w:r>
          </w:p>
        </w:tc>
        <w:tc>
          <w:tcPr>
            <w:tcW w:w="2835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01C8EAFF" w14:textId="34DB758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</w:p>
        </w:tc>
        <w:tc>
          <w:tcPr>
            <w:tcW w:w="1800" w:type="dxa"/>
            <w:tcBorders>
              <w:top w:val="single" w:color="262626" w:themeColor="text1" w:themeTint="D9" w:sz="6"/>
              <w:left w:val="nil"/>
              <w:bottom w:val="single" w:color="262626" w:themeColor="text1" w:themeTint="D9" w:sz="6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top"/>
          </w:tcPr>
          <w:p w:rsidR="5E3A241D" w:rsidP="5E3A241D" w:rsidRDefault="5E3A241D" w14:paraId="60272711" w14:textId="71844AFB">
            <w:pPr>
              <w:bidi w:val="0"/>
              <w:spacing w:after="0" w:line="252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olor w:val="000000" w:themeColor="text1" w:themeTint="FF" w:themeShade="FF"/>
                <w:sz w:val="19"/>
                <w:szCs w:val="19"/>
              </w:rPr>
            </w:pPr>
          </w:p>
        </w:tc>
      </w:tr>
    </w:tbl>
    <w:p xmlns:wp14="http://schemas.microsoft.com/office/word/2010/wordml" w:rsidP="5E3A241D" wp14:paraId="51AECC38" wp14:textId="63410642">
      <w:pPr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19"/>
          <w:szCs w:val="19"/>
        </w:rPr>
      </w:pPr>
    </w:p>
    <w:p xmlns:wp14="http://schemas.microsoft.com/office/word/2010/wordml" w:rsidP="5E3A241D" wp14:paraId="07E0B118" wp14:textId="210FA613">
      <w:pPr>
        <w:bidi w:val="0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color w:val="000000" w:themeColor="text1" w:themeTint="FF" w:themeShade="FF"/>
          <w:sz w:val="24"/>
          <w:szCs w:val="24"/>
        </w:rPr>
      </w:pPr>
    </w:p>
    <w:p xmlns:wp14="http://schemas.microsoft.com/office/word/2010/wordml" w:rsidP="5E3A241D" wp14:paraId="1E207724" wp14:textId="31D8FF6F">
      <w:pPr>
        <w:pStyle w:val="Normal"/>
        <w:bidi w:val="0"/>
        <w:spacing w:after="40"/>
        <w:rPr>
          <w:rFonts w:ascii="Arial" w:hAnsi="Arial" w:eastAsia="Arial" w:cs="Arial"/>
          <w:b w:val="0"/>
          <w:bCs w:val="0"/>
          <w:i w:val="0"/>
          <w:iCs w:val="0"/>
          <w:caps w:val="0"/>
          <w:smallCaps w:val="0"/>
          <w:color w:val="262626" w:themeColor="text1" w:themeTint="D9" w:themeShade="FF"/>
          <w:sz w:val="19"/>
          <w:szCs w:val="19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4a8fadcbe55c4051"/>
      <w:footerReference w:type="default" r:id="R0b72cea4115242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E3A241D" w:rsidTr="5E3A241D" w14:paraId="31351362">
      <w:trPr>
        <w:trHeight w:val="300"/>
      </w:trPr>
      <w:tc>
        <w:tcPr>
          <w:tcW w:w="3005" w:type="dxa"/>
          <w:tcMar/>
        </w:tcPr>
        <w:p w:rsidR="5E3A241D" w:rsidP="5E3A241D" w:rsidRDefault="5E3A241D" w14:paraId="1377EA6A" w14:textId="4F7EB5A5">
          <w:pPr>
            <w:pStyle w:val="Header"/>
            <w:bidi w:val="0"/>
            <w:ind w:left="-115"/>
            <w:jc w:val="left"/>
          </w:pPr>
        </w:p>
      </w:tc>
      <w:tc>
        <w:tcPr>
          <w:tcW w:w="3005" w:type="dxa"/>
          <w:tcMar/>
        </w:tcPr>
        <w:p w:rsidR="5E3A241D" w:rsidP="5E3A241D" w:rsidRDefault="5E3A241D" w14:paraId="2732992B" w14:textId="42DB9444">
          <w:pPr>
            <w:pStyle w:val="Header"/>
            <w:bidi w:val="0"/>
            <w:jc w:val="center"/>
          </w:pPr>
        </w:p>
      </w:tc>
      <w:tc>
        <w:tcPr>
          <w:tcW w:w="3005" w:type="dxa"/>
          <w:tcMar/>
        </w:tcPr>
        <w:p w:rsidR="5E3A241D" w:rsidP="5E3A241D" w:rsidRDefault="5E3A241D" w14:paraId="1B741C0B" w14:textId="54F389A3">
          <w:pPr>
            <w:pStyle w:val="Header"/>
            <w:bidi w:val="0"/>
            <w:ind w:right="-115"/>
            <w:jc w:val="right"/>
          </w:pPr>
        </w:p>
      </w:tc>
    </w:tr>
  </w:tbl>
  <w:p w:rsidR="5E3A241D" w:rsidP="5E3A241D" w:rsidRDefault="5E3A241D" w14:paraId="69AE3B21" w14:textId="755FA8F1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7155"/>
    </w:tblGrid>
    <w:tr w:rsidR="5E3A241D" w:rsidTr="5E3A241D" w14:paraId="48649118">
      <w:trPr>
        <w:trHeight w:val="300"/>
      </w:trPr>
      <w:tc>
        <w:tcPr>
          <w:tcW w:w="3005" w:type="dxa"/>
          <w:tcMar/>
        </w:tcPr>
        <w:p w:rsidR="5E3A241D" w:rsidP="5E3A241D" w:rsidRDefault="5E3A241D" w14:paraId="669C55C9" w14:textId="299BEF2F">
          <w:pPr>
            <w:pStyle w:val="Header"/>
            <w:bidi w:val="0"/>
            <w:jc w:val="center"/>
          </w:pPr>
        </w:p>
      </w:tc>
      <w:tc>
        <w:tcPr>
          <w:tcW w:w="7155" w:type="dxa"/>
          <w:tcMar/>
        </w:tcPr>
        <w:p w:rsidR="5E3A241D" w:rsidP="5E3A241D" w:rsidRDefault="5E3A241D" w14:paraId="5B6C9BD4" w14:textId="41CF8455">
          <w:pPr>
            <w:pStyle w:val="Header"/>
            <w:bidi w:val="0"/>
            <w:ind w:left="-115" w:right="90"/>
            <w:jc w:val="right"/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</w:pPr>
          <w:r w:rsidRPr="5E3A241D" w:rsidR="5E3A241D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 xml:space="preserve">Auditoria 1 – UnB 2026.2 | Suzano S.A. 2025 | PT </w:t>
          </w:r>
          <w:r w:rsidRPr="5E3A241D" w:rsidR="5E3A241D">
            <w:rPr>
              <w:rFonts w:ascii="Calibri" w:hAnsi="Calibri" w:eastAsia="Calibri" w:cs="Calibri"/>
              <w:b w:val="0"/>
              <w:bCs w:val="0"/>
              <w:i w:val="0"/>
              <w:iCs w:val="0"/>
              <w:caps w:val="0"/>
              <w:smallCaps w:val="0"/>
              <w:color w:val="808080" w:themeColor="background1" w:themeTint="FF" w:themeShade="80"/>
              <w:sz w:val="16"/>
              <w:szCs w:val="16"/>
            </w:rPr>
            <w:t>200</w:t>
          </w:r>
        </w:p>
      </w:tc>
    </w:tr>
  </w:tbl>
  <w:p w:rsidR="5E3A241D" w:rsidP="5E3A241D" w:rsidRDefault="5E3A241D" w14:paraId="7CEC1A61" w14:textId="72DED17D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jcblS3B9G2JKwJ" int2:id="PJdExOB4">
      <int2:state int2:type="spell" int2:value="Rejected"/>
    </int2:textHash>
    <int2:textHash int2:hashCode="M76m736jlVIk7y" int2:id="yzMY4nFi">
      <int2:state int2:type="spell" int2:value="Rejected"/>
    </int2:textHash>
    <int2:textHash int2:hashCode="8DwKWcWUVO6iXM" int2:id="Kx86X3A9">
      <int2:state int2:type="spell" int2:value="Rejected"/>
    </int2:textHash>
    <int2:textHash int2:hashCode="bZDvwn/X14Ib86" int2:id="qUc8igRo">
      <int2:state int2:type="spell" int2:value="Rejected"/>
    </int2:textHash>
    <int2:textHash int2:hashCode="6kRAvZRxTk6FM0" int2:id="zOK7V4ab">
      <int2:state int2:type="spell" int2:value="Rejected"/>
    </int2:textHash>
    <int2:textHash int2:hashCode="aDbWvrpdGK3RWh" int2:id="D5uKkmOq">
      <int2:state int2:type="spell" int2:value="Rejected"/>
    </int2:textHash>
    <int2:textHash int2:hashCode="HKxczNDBNeCmo7" int2:id="4ZtIDvy3">
      <int2:state int2:type="spell" int2:value="Rejected"/>
    </int2:textHash>
    <int2:textHash int2:hashCode="bM4lz2eCVfDC4I" int2:id="5VI42hTp">
      <int2:state int2:type="spell" int2:value="Rejected"/>
    </int2:textHash>
    <int2:textHash int2:hashCode="jz11khmS9GYRcU" int2:id="Ybav2HBm">
      <int2:state int2:type="spell" int2:value="Rejected"/>
    </int2:textHash>
    <int2:textHash int2:hashCode="u46xfKsC+BLI1A" int2:id="EOdvPcP7">
      <int2:state int2:type="spell" int2:value="Rejected"/>
    </int2:textHash>
    <int2:textHash int2:hashCode="jZKIYoBOflOeg0" int2:id="oXsQnd2C">
      <int2:state int2:type="spell" int2:value="Rejected"/>
    </int2:textHash>
    <int2:textHash int2:hashCode="GFP9Qn0Iu5iRwc" int2:id="p7u2KCWd">
      <int2:state int2:type="spell" int2:value="Rejected"/>
    </int2:textHash>
    <int2:textHash int2:hashCode="T/dfgJV0acS2r1" int2:id="fY0yBU6r">
      <int2:state int2:type="spell" int2:value="Rejected"/>
    </int2:textHash>
    <int2:bookmark int2:bookmarkName="_Int_qCHft4b7" int2:invalidationBookmarkName="" int2:hashCode="lUSG4N1FgGx0LL" int2:id="9ouzfx9T">
      <int2:state int2:type="gram" int2:value="Rejected"/>
    </int2:bookmark>
    <int2:bookmark int2:bookmarkName="_Int_FkYsvQuN" int2:invalidationBookmarkName="" int2:hashCode="ypqYrZvEuFkfHO" int2:id="MOOHwDcy">
      <int2:state int2:type="gram" int2:value="Rejected"/>
    </int2:bookmark>
    <int2:bookmark int2:bookmarkName="_Int_aKfYGwBo" int2:invalidationBookmarkName="" int2:hashCode="LIf/VizhUfaMSW" int2:id="XBxEiE1Y">
      <int2:state int2:type="gram" int2:value="Rejected"/>
    </int2:bookmark>
    <int2:bookmark int2:bookmarkName="_Int_5yc9d9xJ" int2:invalidationBookmarkName="" int2:hashCode="T6x+TXYT4CjDoc" int2:id="xMdGbqGm">
      <int2:state int2:type="gram" int2:value="Rejected"/>
    </int2:bookmark>
    <int2:bookmark int2:bookmarkName="_Int_tE3hCqdf" int2:invalidationBookmarkName="" int2:hashCode="T6x+TXYT4CjDoc" int2:id="jPltY6uy">
      <int2:state int2:type="gram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3">
    <w:nsid w:val="1c01805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62c30bd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67aef96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69c9126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3d3f3ba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41ea7d4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9c037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f3a168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3fa2546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fd192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2fafd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9b5b4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–"/>
      <w:lvlJc w:val="left"/>
      <w:pPr>
        <w:ind w:left="400" w:hanging="24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69a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•"/>
      <w:lvlJc w:val="left"/>
      <w:pPr>
        <w:ind w:left="500" w:hanging="2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ED20B83"/>
    <w:rsid w:val="011A83B6"/>
    <w:rsid w:val="01306683"/>
    <w:rsid w:val="01746230"/>
    <w:rsid w:val="0223C95E"/>
    <w:rsid w:val="022D2EA2"/>
    <w:rsid w:val="024C4755"/>
    <w:rsid w:val="02747C8D"/>
    <w:rsid w:val="027F62E5"/>
    <w:rsid w:val="037072A9"/>
    <w:rsid w:val="038540D8"/>
    <w:rsid w:val="05184C4B"/>
    <w:rsid w:val="05453B5E"/>
    <w:rsid w:val="059CB6AA"/>
    <w:rsid w:val="06608DB5"/>
    <w:rsid w:val="073EEE6D"/>
    <w:rsid w:val="075D1341"/>
    <w:rsid w:val="08AD9AE3"/>
    <w:rsid w:val="08AE989A"/>
    <w:rsid w:val="09318637"/>
    <w:rsid w:val="09673444"/>
    <w:rsid w:val="09714B5B"/>
    <w:rsid w:val="0ABBD582"/>
    <w:rsid w:val="0C5D8E75"/>
    <w:rsid w:val="0D4925F2"/>
    <w:rsid w:val="0D616FB3"/>
    <w:rsid w:val="0D84B948"/>
    <w:rsid w:val="0E30FB40"/>
    <w:rsid w:val="0E81C4C1"/>
    <w:rsid w:val="0E948883"/>
    <w:rsid w:val="1049671E"/>
    <w:rsid w:val="1064FD88"/>
    <w:rsid w:val="12708081"/>
    <w:rsid w:val="131A14A3"/>
    <w:rsid w:val="134DD7FB"/>
    <w:rsid w:val="13AB68CB"/>
    <w:rsid w:val="13C18680"/>
    <w:rsid w:val="13EAC771"/>
    <w:rsid w:val="14BAA7E7"/>
    <w:rsid w:val="14E42F05"/>
    <w:rsid w:val="16A77933"/>
    <w:rsid w:val="176A2F18"/>
    <w:rsid w:val="1883A56F"/>
    <w:rsid w:val="1884274B"/>
    <w:rsid w:val="18C6A329"/>
    <w:rsid w:val="19CD751C"/>
    <w:rsid w:val="19D6320C"/>
    <w:rsid w:val="1A85A6A2"/>
    <w:rsid w:val="1A8C2314"/>
    <w:rsid w:val="1A9002EE"/>
    <w:rsid w:val="1B1160CE"/>
    <w:rsid w:val="1B6374EE"/>
    <w:rsid w:val="1BA183D5"/>
    <w:rsid w:val="1BE28AC6"/>
    <w:rsid w:val="1C0D7C78"/>
    <w:rsid w:val="1C20C363"/>
    <w:rsid w:val="1C57F14B"/>
    <w:rsid w:val="1CD94CA2"/>
    <w:rsid w:val="1E0594DC"/>
    <w:rsid w:val="1E1A72D4"/>
    <w:rsid w:val="1E50F5FE"/>
    <w:rsid w:val="1E972531"/>
    <w:rsid w:val="20108AB1"/>
    <w:rsid w:val="2042C1AA"/>
    <w:rsid w:val="20611B13"/>
    <w:rsid w:val="20CFD3FC"/>
    <w:rsid w:val="22198A17"/>
    <w:rsid w:val="2296A7ED"/>
    <w:rsid w:val="2391A488"/>
    <w:rsid w:val="24005765"/>
    <w:rsid w:val="25529155"/>
    <w:rsid w:val="258072B3"/>
    <w:rsid w:val="2668DAE6"/>
    <w:rsid w:val="271F7ECF"/>
    <w:rsid w:val="27277103"/>
    <w:rsid w:val="2835C998"/>
    <w:rsid w:val="283D1021"/>
    <w:rsid w:val="2A1D4C36"/>
    <w:rsid w:val="2AC5FBB5"/>
    <w:rsid w:val="2B2AD0CC"/>
    <w:rsid w:val="2BFBDDD5"/>
    <w:rsid w:val="2CDA5D8A"/>
    <w:rsid w:val="2D727077"/>
    <w:rsid w:val="2F627354"/>
    <w:rsid w:val="30B63283"/>
    <w:rsid w:val="310A644E"/>
    <w:rsid w:val="3144C377"/>
    <w:rsid w:val="31878D65"/>
    <w:rsid w:val="321D0DD1"/>
    <w:rsid w:val="3250C433"/>
    <w:rsid w:val="32FF3506"/>
    <w:rsid w:val="3558769F"/>
    <w:rsid w:val="3573E91D"/>
    <w:rsid w:val="35BD8763"/>
    <w:rsid w:val="362D2E0B"/>
    <w:rsid w:val="36BB4CB8"/>
    <w:rsid w:val="36F8B32F"/>
    <w:rsid w:val="371156FB"/>
    <w:rsid w:val="37702721"/>
    <w:rsid w:val="37EC1079"/>
    <w:rsid w:val="381A9377"/>
    <w:rsid w:val="39068857"/>
    <w:rsid w:val="3930D397"/>
    <w:rsid w:val="3944BC3A"/>
    <w:rsid w:val="3A534784"/>
    <w:rsid w:val="3A5EA17B"/>
    <w:rsid w:val="3ADE138A"/>
    <w:rsid w:val="3B21F213"/>
    <w:rsid w:val="3BA36C85"/>
    <w:rsid w:val="3C38817C"/>
    <w:rsid w:val="3CE654EB"/>
    <w:rsid w:val="3E1486F0"/>
    <w:rsid w:val="3E6E76E0"/>
    <w:rsid w:val="3E7A4EB2"/>
    <w:rsid w:val="3E8441AA"/>
    <w:rsid w:val="3E93F6F2"/>
    <w:rsid w:val="3EAAEF46"/>
    <w:rsid w:val="3F2E0EE4"/>
    <w:rsid w:val="41A530A5"/>
    <w:rsid w:val="42AC2044"/>
    <w:rsid w:val="437E3339"/>
    <w:rsid w:val="44E2F39A"/>
    <w:rsid w:val="44E75B3E"/>
    <w:rsid w:val="4571A110"/>
    <w:rsid w:val="458D3F8A"/>
    <w:rsid w:val="4660AFB8"/>
    <w:rsid w:val="4747FE95"/>
    <w:rsid w:val="481BC9E5"/>
    <w:rsid w:val="481DCB95"/>
    <w:rsid w:val="48B878B7"/>
    <w:rsid w:val="499A6DA5"/>
    <w:rsid w:val="49ACF5AD"/>
    <w:rsid w:val="49C032BC"/>
    <w:rsid w:val="4A6CCC25"/>
    <w:rsid w:val="4C2BCC65"/>
    <w:rsid w:val="4C778481"/>
    <w:rsid w:val="4C792232"/>
    <w:rsid w:val="4CB49A8C"/>
    <w:rsid w:val="4DCF3192"/>
    <w:rsid w:val="4DEDACF9"/>
    <w:rsid w:val="4E1E2E64"/>
    <w:rsid w:val="4ECAB94A"/>
    <w:rsid w:val="4F27EE36"/>
    <w:rsid w:val="4FD42890"/>
    <w:rsid w:val="504203E4"/>
    <w:rsid w:val="50E19BE1"/>
    <w:rsid w:val="51672B92"/>
    <w:rsid w:val="518F9E19"/>
    <w:rsid w:val="51DA259B"/>
    <w:rsid w:val="51DE326D"/>
    <w:rsid w:val="5344D2F2"/>
    <w:rsid w:val="536CA65C"/>
    <w:rsid w:val="53CDCC73"/>
    <w:rsid w:val="54244B1B"/>
    <w:rsid w:val="542EB4C9"/>
    <w:rsid w:val="552E747D"/>
    <w:rsid w:val="56163189"/>
    <w:rsid w:val="567B4F81"/>
    <w:rsid w:val="56FDECF4"/>
    <w:rsid w:val="57801450"/>
    <w:rsid w:val="57E49DA0"/>
    <w:rsid w:val="58225285"/>
    <w:rsid w:val="5833D511"/>
    <w:rsid w:val="58532463"/>
    <w:rsid w:val="5A474709"/>
    <w:rsid w:val="5B2C69A3"/>
    <w:rsid w:val="5BC5AA9B"/>
    <w:rsid w:val="5C58FB2D"/>
    <w:rsid w:val="5C9C4987"/>
    <w:rsid w:val="5CD23B02"/>
    <w:rsid w:val="5D2882FE"/>
    <w:rsid w:val="5D2931F0"/>
    <w:rsid w:val="5D92DE15"/>
    <w:rsid w:val="5E2321B4"/>
    <w:rsid w:val="5E2D2769"/>
    <w:rsid w:val="5E3A241D"/>
    <w:rsid w:val="5F4BBD12"/>
    <w:rsid w:val="5FE9EB01"/>
    <w:rsid w:val="5FEDE9D1"/>
    <w:rsid w:val="6046D935"/>
    <w:rsid w:val="60738780"/>
    <w:rsid w:val="60DB19B1"/>
    <w:rsid w:val="61978195"/>
    <w:rsid w:val="61C2A11A"/>
    <w:rsid w:val="61C346DF"/>
    <w:rsid w:val="62FF6043"/>
    <w:rsid w:val="63205F1C"/>
    <w:rsid w:val="632D14A5"/>
    <w:rsid w:val="6424C402"/>
    <w:rsid w:val="6424FEF1"/>
    <w:rsid w:val="64DAAC72"/>
    <w:rsid w:val="653BE5F0"/>
    <w:rsid w:val="656EBC66"/>
    <w:rsid w:val="676B3C17"/>
    <w:rsid w:val="68147977"/>
    <w:rsid w:val="68156EEA"/>
    <w:rsid w:val="68227CED"/>
    <w:rsid w:val="68C7B6DA"/>
    <w:rsid w:val="68CC63E1"/>
    <w:rsid w:val="6988F2A9"/>
    <w:rsid w:val="6A4994F7"/>
    <w:rsid w:val="6AAD1B46"/>
    <w:rsid w:val="6ADDB7AE"/>
    <w:rsid w:val="6B3C6FAB"/>
    <w:rsid w:val="6C6BB954"/>
    <w:rsid w:val="6C76A16F"/>
    <w:rsid w:val="6CD9F37B"/>
    <w:rsid w:val="6D06C826"/>
    <w:rsid w:val="6D3F0E0C"/>
    <w:rsid w:val="6D5E6689"/>
    <w:rsid w:val="6DCE8907"/>
    <w:rsid w:val="6E8E8995"/>
    <w:rsid w:val="6EDADE0C"/>
    <w:rsid w:val="6EE4F766"/>
    <w:rsid w:val="6F10F671"/>
    <w:rsid w:val="7001EE5C"/>
    <w:rsid w:val="70C8A8D8"/>
    <w:rsid w:val="7165B74A"/>
    <w:rsid w:val="71D6414C"/>
    <w:rsid w:val="7267F5CA"/>
    <w:rsid w:val="727407FA"/>
    <w:rsid w:val="73E91AE4"/>
    <w:rsid w:val="7433A611"/>
    <w:rsid w:val="759CB2A2"/>
    <w:rsid w:val="760895C8"/>
    <w:rsid w:val="76093E1A"/>
    <w:rsid w:val="7636972E"/>
    <w:rsid w:val="7641FD9E"/>
    <w:rsid w:val="769B6279"/>
    <w:rsid w:val="77026C05"/>
    <w:rsid w:val="78309E6D"/>
    <w:rsid w:val="78A13169"/>
    <w:rsid w:val="7980DA60"/>
    <w:rsid w:val="79C8D3F2"/>
    <w:rsid w:val="7AECFA50"/>
    <w:rsid w:val="7BB5E64C"/>
    <w:rsid w:val="7BDA1864"/>
    <w:rsid w:val="7C8D4AD5"/>
    <w:rsid w:val="7C9284D6"/>
    <w:rsid w:val="7DB7A68F"/>
    <w:rsid w:val="7E76A2F3"/>
    <w:rsid w:val="7ED20B83"/>
    <w:rsid w:val="7EF7B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48840C"/>
  <w15:chartTrackingRefBased/>
  <w15:docId w15:val="{AE9EA3DC-B2E8-448C-B859-C51B310DFDE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uiPriority w:val="0"/>
    <w:name w:val="Normal"/>
    <w:qFormat/>
    <w:rsid w:val="5E3A241D"/>
    <w:rPr>
      <w:noProof w:val="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E3A241D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5E3A241D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5E3A241D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yperlink">
    <w:uiPriority w:val="99"/>
    <w:name w:val="Hyperlink"/>
    <w:basedOn w:val="DefaultParagraphFont"/>
    <w:unhideWhenUsed/>
    <w:rsid w:val="5E3A241D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hyperlink" Target="https://www2.cfc.org.br/sisweb/sre/detalhes_sre.aspx?Codigo=2016/NBCTA200(R1)&amp;_gl=1*1kzdjko*_ga*NTgzMjIxNjUuMTc4NzUxODUzMg..*_ga_38VHCFH9HD*czE3OTI0NDIxMzYkbzQkZzAkdDE3OTI0NDIxMzYkajYwJGwwJGgw" TargetMode="External" Id="Rd5b948903b0748e1" /><Relationship Type="http://schemas.openxmlformats.org/officeDocument/2006/relationships/hyperlink" Target="https://www.rad.cvm.gov.br/ENETWEB/frmGerenciaPaginaFRE.aspx?NumeroSequencialDocumento=154674&amp;CodigoTipoInstituicao=1" TargetMode="External" Id="R58e771e01fa04afb" /><Relationship Type="http://schemas.openxmlformats.org/officeDocument/2006/relationships/hyperlink" Target="https://www2.cfc.org.br/sisweb/sre/detalhes_sre.aspx?Codigo=2016/NBCTA200(R1)&amp;_gl=1*4jazlo*_ga*NTgzMjIxNjUuMTc4NzUxODUzMg..*_ga_38VHCFH9HD*czE3OTI0NDkxMjAkbzUkZzAkdDE3OTI0NDkxMjAkajYwJGwwJGgw" TargetMode="External" Id="Rfbf1eb445ebb4420" /><Relationship Type="http://schemas.openxmlformats.org/officeDocument/2006/relationships/hyperlink" Target="https://ri.suzano.com.br/Portuguese/Arquivamentos/Documentos-entregues-a-CVM/default.aspx" TargetMode="External" Id="Rebe2fc002f434f66" /><Relationship Type="http://schemas.openxmlformats.org/officeDocument/2006/relationships/header" Target="header.xml" Id="R4a8fadcbe55c4051" /><Relationship Type="http://schemas.openxmlformats.org/officeDocument/2006/relationships/footer" Target="footer.xml" Id="R0b72cea411524280" /><Relationship Type="http://schemas.microsoft.com/office/2020/10/relationships/intelligence" Target="intelligence2.xml" Id="Re25f59c99a0a49ad" /><Relationship Type="http://schemas.openxmlformats.org/officeDocument/2006/relationships/numbering" Target="numbering.xml" Id="R1e5b377408984d61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2026-10-19T18:31:55.3078925Z</dcterms:created>
  <dcterms:modified xsi:type="dcterms:W3CDTF">2026-10-22T20:24:13.1901378Z</dcterms:modified>
  <dc:creator>Gabriela Aparecida Parreira</dc:creator>
  <lastModifiedBy>Gabriela Aparecida Parreira</lastModifiedBy>
</coreProperties>
</file>