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2biyed5c2x3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Durante esta etapa del Proyecto APT, se ha avanzado significativamente en la construcción de la aplicación móvil para la detección y valorización de Residuos de Aparatos Eléctricos y Electrónicos (RAEE), desarrollada con .NET MAUI. Se completó el diseño visual inicial de la interfaz, la definición de colores institucionales (morado, verde y café) y la estructura base de navegación entre pantallas.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En cuanto al desarrollo funcional, se han implementado y validado los siguientes casos de uso principales: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CU1: Iniciar Sesión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CU2: Registrarse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CU3: Capturar imagen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(módulo principal vinculado al modelo IA)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CU4: Visualizar enlaces del sistema.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CU5: Visualizar mapa de puntos de reciclaje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utilizando APIs de Google Cloud (Maps &amp; Places)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CU6: Visualizar compañías de retiro a domicilio.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CU7: Visualizar componentes detectados.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CU8:Visualizar puntos para reciclaje.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CU11: Gestionar Usuarios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Estos avances han permitido asegurar la base operativa de la aplicación, garantizando la autenticación de usuarios, navegación inicial y visualización de servicios integrados.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equipo ha enfrentado desafíos técnicos relacionados con la configuración de paquetes NuGet, compatibilidad entre versiones de .NET MAUI y el uso de claves API de Google Cloud, lo que ha requerido ajustes en el plan de trabajo y refactorización parcial del código. A pesar de ello, el proyecto mantiene su continuidad y proyección hacia el desarrollo del módulo de IA y gamificación en las siguientes etapas.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8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Desarrollar interfaces iniciales y navegación de la aplicación móvil. </w:t>
              <w:br w:type="textWrapping"/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8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Implementar autenticación básica de usuarios (login y registro). </w:t>
              <w:br w:type="textWrapping"/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8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Integrar componente de cámara para captura de imágenes. </w:t>
              <w:br w:type="textWrapping"/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Conectar la app con Google Maps/Places para ubicar puntos de reciclaje.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mantiene la Metodología en Cascada, respetando la secuencia planificada: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Análisis → Diseño → Desarrollo → Pruebas, con entregables concretos por fase.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 se han modificado los enfoques metodológicos, pero sí se redistribuyen tiempos de desarrollo debido a dificultades técnicas.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ind w:left="743" w:firstLine="0"/>
              <w:jc w:val="center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b w:val="1"/>
                <w:i w:val="1"/>
                <w:color w:val="0070c0"/>
                <w:rtl w:val="0"/>
              </w:rPr>
              <w:t xml:space="preserve">Evidencias Visuales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ind w:left="720" w:hanging="36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b w:val="1"/>
                <w:i w:val="1"/>
                <w:color w:val="0070c0"/>
                <w:rtl w:val="0"/>
              </w:rPr>
              <w:t xml:space="preserve">Iniciar Sesión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1333500</wp:posOffset>
                  </wp:positionH>
                  <wp:positionV relativeFrom="paragraph">
                    <wp:posOffset>257292</wp:posOffset>
                  </wp:positionV>
                  <wp:extent cx="877253" cy="1924139"/>
                  <wp:effectExtent b="0" l="0" r="0" t="0"/>
                  <wp:wrapSquare wrapText="bothSides" distB="114300" distT="114300" distL="114300" distR="114300"/>
                  <wp:docPr id="3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253" cy="19241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A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1333500</wp:posOffset>
                  </wp:positionH>
                  <wp:positionV relativeFrom="paragraph">
                    <wp:posOffset>247860</wp:posOffset>
                  </wp:positionV>
                  <wp:extent cx="876300" cy="1975266"/>
                  <wp:effectExtent b="0" l="0" r="0" t="0"/>
                  <wp:wrapSquare wrapText="bothSides" distB="19050" distT="19050" distL="19050" distR="19050"/>
                  <wp:docPr id="3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9752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3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720" w:hanging="36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b w:val="1"/>
                <w:i w:val="1"/>
                <w:color w:val="0070c0"/>
                <w:rtl w:val="0"/>
              </w:rPr>
              <w:t xml:space="preserve">Registrar.</w:t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1333500</wp:posOffset>
                  </wp:positionH>
                  <wp:positionV relativeFrom="paragraph">
                    <wp:posOffset>247650</wp:posOffset>
                  </wp:positionV>
                  <wp:extent cx="876300" cy="1871709"/>
                  <wp:effectExtent b="0" l="0" r="0" t="0"/>
                  <wp:wrapSquare wrapText="bothSides" distB="19050" distT="19050" distL="19050" distR="19050"/>
                  <wp:docPr id="3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8717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B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ind w:left="720" w:hanging="36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b w:val="1"/>
                <w:i w:val="1"/>
                <w:color w:val="0070c0"/>
                <w:rtl w:val="0"/>
              </w:rPr>
              <w:t xml:space="preserve">Capturar Imagen.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1319213</wp:posOffset>
                  </wp:positionH>
                  <wp:positionV relativeFrom="paragraph">
                    <wp:posOffset>38217</wp:posOffset>
                  </wp:positionV>
                  <wp:extent cx="933450" cy="2087534"/>
                  <wp:effectExtent b="0" l="0" r="0" t="0"/>
                  <wp:wrapSquare wrapText="bothSides" distB="19050" distT="19050" distL="19050" distR="19050"/>
                  <wp:docPr id="3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20875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47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181210</wp:posOffset>
                  </wp:positionV>
                  <wp:extent cx="962978" cy="2085245"/>
                  <wp:effectExtent b="0" l="0" r="0" t="0"/>
                  <wp:wrapSquare wrapText="bothSides" distB="19050" distT="19050" distL="19050" distR="19050"/>
                  <wp:docPr id="3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978" cy="20852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4F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ind w:left="720" w:hanging="36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b w:val="1"/>
                <w:i w:val="1"/>
                <w:color w:val="0070c0"/>
                <w:rtl w:val="0"/>
              </w:rPr>
              <w:t xml:space="preserve">Visualizar Mapa, Compañías Puntos de Reciclaje.</w:t>
            </w:r>
          </w:p>
          <w:p w:rsidR="00000000" w:rsidDel="00000000" w:rsidP="00000000" w:rsidRDefault="00000000" w:rsidRPr="00000000" w14:paraId="00000058">
            <w:pPr>
              <w:ind w:left="72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1385888</wp:posOffset>
                  </wp:positionH>
                  <wp:positionV relativeFrom="paragraph">
                    <wp:posOffset>19050</wp:posOffset>
                  </wp:positionV>
                  <wp:extent cx="933450" cy="2026270"/>
                  <wp:effectExtent b="0" l="0" r="0" t="0"/>
                  <wp:wrapSquare wrapText="bothSides" distB="19050" distT="19050" distL="19050" distR="19050"/>
                  <wp:docPr id="3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20262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9">
            <w:pPr>
              <w:ind w:left="72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72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72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72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72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72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6"/>
              </w:numPr>
              <w:ind w:left="720" w:hanging="36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b w:val="1"/>
                <w:i w:val="1"/>
                <w:color w:val="0070c0"/>
                <w:rtl w:val="0"/>
              </w:rPr>
              <w:t xml:space="preserve">Gestionar Usuario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304917</wp:posOffset>
                  </wp:positionV>
                  <wp:extent cx="809625" cy="1660071"/>
                  <wp:effectExtent b="0" l="0" r="0" t="0"/>
                  <wp:wrapSquare wrapText="bothSides" distB="114300" distT="114300" distL="114300" distR="114300"/>
                  <wp:docPr id="3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6600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2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72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1419225</wp:posOffset>
                  </wp:positionH>
                  <wp:positionV relativeFrom="paragraph">
                    <wp:posOffset>66675</wp:posOffset>
                  </wp:positionV>
                  <wp:extent cx="810141" cy="1695450"/>
                  <wp:effectExtent b="0" l="0" r="0" t="0"/>
                  <wp:wrapSquare wrapText="bothSides" distB="19050" distT="19050" distL="19050" distR="19050"/>
                  <wp:docPr id="2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141" cy="1695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A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6"/>
              </w:numPr>
              <w:ind w:left="720" w:hanging="36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b w:val="1"/>
                <w:i w:val="1"/>
                <w:color w:val="0070c0"/>
                <w:rtl w:val="0"/>
              </w:rPr>
              <w:t xml:space="preserve">Visualizar Componentes detectados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1157288</wp:posOffset>
                  </wp:positionH>
                  <wp:positionV relativeFrom="paragraph">
                    <wp:posOffset>95133</wp:posOffset>
                  </wp:positionV>
                  <wp:extent cx="933450" cy="1950995"/>
                  <wp:effectExtent b="0" l="0" r="0" t="0"/>
                  <wp:wrapSquare wrapText="bothSides" distB="19050" distT="19050" distL="19050" distR="19050"/>
                  <wp:docPr id="3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9509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3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7D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1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1063.4863281249998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Ofrecer propuestas de solución informática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Análisis y levantamiento de requerimientos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Reuniones, Documentos APT, Word/OneDrive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Definición de 17 CU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Sin ajustes</w:t>
            </w:r>
          </w:p>
        </w:tc>
      </w:tr>
      <w:tr>
        <w:trPr>
          <w:cantSplit w:val="0"/>
          <w:trHeight w:val="1590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Construir el modelo arquitectónico de una solución.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Diseño de interfaces (UI) y estructura de navegación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NET MAUI, manual de estilos (colores)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Definidos colores y pantallas base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Sin ajustes</w:t>
            </w:r>
          </w:p>
        </w:tc>
      </w:tr>
      <w:tr>
        <w:trPr>
          <w:cantSplit w:val="0"/>
          <w:trHeight w:val="1350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Implementación de CU1 y CU2 (Login / Registro)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Visual Studio, MAUI, Azure DB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Vania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Autenticación funcional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Sin ajustes</w:t>
            </w:r>
          </w:p>
        </w:tc>
      </w:tr>
      <w:tr>
        <w:trPr>
          <w:cantSplit w:val="0"/>
          <w:trHeight w:val="150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Desarrollar soluciones de software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CU3 Capturar imagen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Visual Studio, MAUI Camera API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Gabriela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Cámara funcional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i w:val="1"/>
                <w:color w:val="548dd4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Ajustes de permisos Android</w:t>
            </w:r>
          </w:p>
        </w:tc>
      </w:tr>
      <w:tr>
        <w:trPr>
          <w:cantSplit w:val="0"/>
          <w:trHeight w:val="1152.7294921874995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Implementar soluciones integrales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CU5 Mapa de reciclaje (Google Maps API)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Google Maps API, Android, Physical Device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Ignacia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muestran puntos en mapa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i w:val="1"/>
                <w:color w:val="548dd4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Ajustes por claves API</w:t>
            </w:r>
          </w:p>
          <w:tbl>
            <w:tblPr>
              <w:tblStyle w:val="Table4"/>
              <w:tblW w:w="6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45"/>
              <w:tblGridChange w:id="0">
                <w:tblGrid>
                  <w:gridCol w:w="64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jc w:val="left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8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7.7294921874998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Implementar soluciones integrales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CU6/CU7 Visualización Enlaces, Compañías y Componentes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Visual Studio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Gabriela</w:t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left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6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65.0000000000002"/>
              <w:tblGridChange w:id="0">
                <w:tblGrid>
                  <w:gridCol w:w="1065.0000000000002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jc w:val="left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color w:val="548dd4"/>
                      <w:sz w:val="18"/>
                      <w:szCs w:val="18"/>
                      <w:rtl w:val="0"/>
                    </w:rPr>
                    <w:t xml:space="preserve">Pantallas creadas</w:t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i w:val="1"/>
                <w:color w:val="548dd4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Sin ajustes</w:t>
            </w:r>
          </w:p>
        </w:tc>
      </w:tr>
      <w:tr>
        <w:trPr>
          <w:cantSplit w:val="0"/>
          <w:trHeight w:val="1050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Implementar soluciones integrales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CU11 Gestión de usuarios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Visual Studio, Azure DB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Vania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CRUD básico definido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i w:val="1"/>
                <w:color w:val="548dd4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Sin ajustes</w:t>
            </w:r>
          </w:p>
        </w:tc>
      </w:tr>
      <w:tr>
        <w:trPr>
          <w:cantSplit w:val="0"/>
          <w:trHeight w:val="1020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jc w:val="center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Realizar pruebas y validación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Pruebas funcionales iniciales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Dispositivo Android, Manual QA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Ignacia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Pruebas en login y cámara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i w:val="1"/>
                <w:color w:val="548dd4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Sin ajustes</w:t>
            </w:r>
          </w:p>
        </w:tc>
      </w:tr>
      <w:tr>
        <w:trPr>
          <w:cantSplit w:val="0"/>
          <w:trHeight w:val="1320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jc w:val="center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Documentar el proyecto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Redacción Informe APT y Manuales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Word, Canva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Ignacia 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Inicio de documentación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i w:val="1"/>
                <w:color w:val="548dd4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548dd4"/>
                <w:sz w:val="16"/>
                <w:szCs w:val="16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Sin ajustes</w:t>
            </w:r>
          </w:p>
        </w:tc>
      </w:tr>
    </w:tbl>
    <w:p w:rsidR="00000000" w:rsidDel="00000000" w:rsidP="00000000" w:rsidRDefault="00000000" w:rsidRPr="00000000" w14:paraId="000000D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D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4416.2874348958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both"/>
              <w:rPr>
                <w:rFonts w:ascii="Calibri" w:cs="Calibri" w:eastAsia="Calibri" w:hAnsi="Calibri"/>
                <w:b w:val="1"/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Style w:val="Heading3"/>
              <w:keepNext w:val="0"/>
              <w:keepLines w:val="0"/>
              <w:numPr>
                <w:ilvl w:val="0"/>
                <w:numId w:val="1"/>
              </w:numPr>
              <w:spacing w:after="0" w:afterAutospacing="0" w:before="280" w:lineRule="auto"/>
              <w:ind w:left="720" w:hanging="360"/>
              <w:jc w:val="both"/>
              <w:rPr>
                <w:b w:val="1"/>
                <w:color w:val="548dd4"/>
                <w:sz w:val="20"/>
                <w:szCs w:val="20"/>
              </w:rPr>
            </w:pPr>
            <w:bookmarkStart w:colFirst="0" w:colLast="0" w:name="_heading=h.6c9mze1qjos6" w:id="1"/>
            <w:bookmarkEnd w:id="1"/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Factores que han facilitado el proyecto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Compromiso del equipo y reuniones periódicas.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 Definición clara de interfaz y objetivo general.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 Uso de APIs documentadas (Google Cloud).</w:t>
            </w:r>
          </w:p>
          <w:p w:rsidR="00000000" w:rsidDel="00000000" w:rsidP="00000000" w:rsidRDefault="00000000" w:rsidRPr="00000000" w14:paraId="000000E5">
            <w:pPr>
              <w:pStyle w:val="Heading3"/>
              <w:keepNext w:val="0"/>
              <w:keepLines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b w:val="1"/>
                <w:color w:val="548dd4"/>
                <w:sz w:val="20"/>
                <w:szCs w:val="20"/>
              </w:rPr>
            </w:pPr>
            <w:bookmarkStart w:colFirst="0" w:colLast="0" w:name="_heading=h.6t3juog3vld" w:id="2"/>
            <w:bookmarkEnd w:id="2"/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Factores que han dificultado</w:t>
            </w:r>
          </w:p>
          <w:p w:rsidR="00000000" w:rsidDel="00000000" w:rsidP="00000000" w:rsidRDefault="00000000" w:rsidRPr="00000000" w14:paraId="000000E6">
            <w:pPr>
              <w:pStyle w:val="Heading3"/>
              <w:keepNext w:val="0"/>
              <w:keepLines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  <w:rPr>
                <w:color w:val="548dd4"/>
                <w:sz w:val="20"/>
                <w:szCs w:val="20"/>
                <w:u w:val="none"/>
              </w:rPr>
            </w:pPr>
            <w:bookmarkStart w:colFirst="0" w:colLast="0" w:name="_heading=h.4r6qs5ttyxnd" w:id="3"/>
            <w:bookmarkEnd w:id="3"/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Problemas técnicos con versiones de .NET MAUI y paquetes NuGet.</w:t>
            </w:r>
          </w:p>
          <w:p w:rsidR="00000000" w:rsidDel="00000000" w:rsidP="00000000" w:rsidRDefault="00000000" w:rsidRPr="00000000" w14:paraId="000000E7">
            <w:pPr>
              <w:pStyle w:val="Heading3"/>
              <w:keepNext w:val="0"/>
              <w:keepLines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  <w:rPr>
                <w:color w:val="548dd4"/>
                <w:sz w:val="20"/>
                <w:szCs w:val="20"/>
                <w:u w:val="none"/>
              </w:rPr>
            </w:pPr>
            <w:bookmarkStart w:colFirst="0" w:colLast="0" w:name="_heading=h.wx858hwnb7hi" w:id="4"/>
            <w:bookmarkEnd w:id="4"/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Dificultades para implementar la cámara e IA simultáneamente.</w:t>
            </w:r>
          </w:p>
          <w:p w:rsidR="00000000" w:rsidDel="00000000" w:rsidP="00000000" w:rsidRDefault="00000000" w:rsidRPr="00000000" w14:paraId="000000E8">
            <w:pPr>
              <w:pStyle w:val="Heading3"/>
              <w:keepNext w:val="0"/>
              <w:keepLines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  <w:rPr>
                <w:color w:val="548dd4"/>
                <w:sz w:val="20"/>
                <w:szCs w:val="20"/>
                <w:u w:val="none"/>
              </w:rPr>
            </w:pPr>
            <w:bookmarkStart w:colFirst="0" w:colLast="0" w:name="_heading=h.6q1ip4b5hk5s" w:id="5"/>
            <w:bookmarkEnd w:id="5"/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 Tiempo limitado (compatibilidad con práctica profesional y trabajo).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b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Acciones tomadas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Se reorganizó el desarrollo priorizando casos visibles (Login, Mapa).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 Se consultó documentación oficial y foros para resolver dependencias.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jc w:val="both"/>
              <w:rPr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Se acordó usar Azure SQL Server como base de datos definitiva.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Durante el desarrollo del proyecto se realizaron los siguientes ajustes al plan de trabajo:</w:t>
            </w:r>
          </w:p>
          <w:p w:rsidR="00000000" w:rsidDel="00000000" w:rsidP="00000000" w:rsidRDefault="00000000" w:rsidRPr="00000000" w14:paraId="000000F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Cambio de tecnología de base de datos: Se modificó la arquitectura inicial para utilizar Microsoft Azure SQL Database en lugar de Firebase.</w:t>
            </w:r>
          </w:p>
          <w:p w:rsidR="00000000" w:rsidDel="00000000" w:rsidP="00000000" w:rsidRDefault="00000000" w:rsidRPr="00000000" w14:paraId="000000F1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Reorganización de prioridades funcionales: Se prioriza el desarrollo de los módulos base que permiten validar el flujo principal de la aplicación, como captura de imagen, registro de usuario, inicio de sesión, visualización de mapa y gestión de perfil.</w:t>
            </w:r>
          </w:p>
          <w:p w:rsidR="00000000" w:rsidDel="00000000" w:rsidP="00000000" w:rsidRDefault="00000000" w:rsidRPr="00000000" w14:paraId="000000F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Justificación: Esta reorganización permite asegurar entregables funcionales y trazables para evaluación intermedia, sin comprometer la calidad técnica ni la coherencia del sistema.</w:t>
            </w:r>
          </w:p>
          <w:p w:rsidR="00000000" w:rsidDel="00000000" w:rsidP="00000000" w:rsidRDefault="00000000" w:rsidRPr="00000000" w14:paraId="000000F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 se eliminaron actividades del plan original, pero sí se ajustó la secuencia de implementación para optimizar tiempos de desarrollo, pruebas y documentación.</w:t>
            </w:r>
          </w:p>
          <w:p w:rsidR="00000000" w:rsidDel="00000000" w:rsidP="00000000" w:rsidRDefault="00000000" w:rsidRPr="00000000" w14:paraId="000000F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Algunas actividades aún no han sido iniciadas o presentan retraso respecto a la planificación original:</w:t>
            </w:r>
          </w:p>
          <w:p w:rsidR="00000000" w:rsidDel="00000000" w:rsidP="00000000" w:rsidRDefault="00000000" w:rsidRPr="00000000" w14:paraId="000000F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Casos de uso pendientes: No se han implementado aún los módulos relacionados con gamificación, solicitud de retiro a domicilio y enlaces a marketplaces.</w:t>
            </w:r>
          </w:p>
          <w:p w:rsidR="00000000" w:rsidDel="00000000" w:rsidP="00000000" w:rsidRDefault="00000000" w:rsidRPr="00000000" w14:paraId="000000F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Motivo: Se prioriza la estabilización de los módulos base y la integración con Azure, lo que implicó ajustes técnicos no previstos inicialmente.</w:t>
            </w:r>
          </w:p>
          <w:p w:rsidR="00000000" w:rsidDel="00000000" w:rsidP="00000000" w:rsidRDefault="00000000" w:rsidRPr="00000000" w14:paraId="000000F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Estrategias para avanzar: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7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Reorganizar el cronograma para dedicar bloques específicos a los casos de uso restantes, con entregables parciales por módulo.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7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Aplicar checklist técnico y de QA para cada funcionalidad implementada, asegurando trazabilidad y cumplimiento de requerimientos.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7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Consolidar la documentación en paralelo al desarrollo, utilizando plantillas estructuradas para acelerar el proceso.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7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7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Coordinar sesiones de revisión técnica para validar los módulos pendientes y asegurar que no afecten el cumplimiento del proyecto APT.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10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8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5" name="image7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7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eader" Target="header1.xml"/><Relationship Id="rId7" Type="http://schemas.openxmlformats.org/officeDocument/2006/relationships/customXml" Target="../customXML/item1.xml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btJziNeY8uhLTr8GAtSUe1CE2A==">CgMxLjAyDmguMmJpeWVkNWMyeDM1Mg5oLjZjOW16ZTFxam9zNjINaC42dDNqdW9nM3ZsZDIOaC40cjZxczV0dHl4bmQyDmgud3g4NThod25iN2hpMg5oLjZxMWlwNGI1aGs1czgAciExeXM4VFVFOEhrcWc0aVJyalNqcmtGU0RteklHVE10ZjA=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